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6C447" w14:textId="090EDE64" w:rsidR="00A50502" w:rsidRPr="003A47A1" w:rsidRDefault="00A50502" w:rsidP="00A50502">
      <w:pPr>
        <w:pStyle w:val="CRCoverPage"/>
        <w:tabs>
          <w:tab w:val="right" w:pos="9639"/>
        </w:tabs>
        <w:rPr>
          <w:rFonts w:asciiTheme="majorHAnsi" w:eastAsia="宋体" w:hAnsiTheme="majorHAnsi" w:cstheme="majorHAnsi"/>
          <w:b/>
          <w:sz w:val="24"/>
          <w:szCs w:val="24"/>
          <w:lang w:val="en-US" w:eastAsia="zh-CN"/>
        </w:rPr>
      </w:pPr>
      <w:bookmarkStart w:id="0" w:name="_Ref399006623"/>
      <w:bookmarkStart w:id="1" w:name="_Toc92513360"/>
      <w:r w:rsidRPr="003A47A1">
        <w:rPr>
          <w:rFonts w:asciiTheme="majorHAnsi" w:hAnsiTheme="majorHAnsi" w:cstheme="majorHAnsi"/>
          <w:b/>
          <w:sz w:val="24"/>
          <w:szCs w:val="24"/>
        </w:rPr>
        <w:t>3GPP TSG-</w:t>
      </w:r>
      <w:r w:rsidRPr="003A47A1">
        <w:rPr>
          <w:rFonts w:asciiTheme="majorHAnsi" w:hAnsiTheme="majorHAnsi" w:cstheme="majorHAnsi"/>
          <w:b/>
          <w:sz w:val="24"/>
          <w:szCs w:val="24"/>
          <w:lang w:val="en-US" w:eastAsia="zh-CN"/>
        </w:rPr>
        <w:t>RAN</w:t>
      </w:r>
      <w:r w:rsidRPr="003A47A1">
        <w:rPr>
          <w:rFonts w:asciiTheme="majorHAnsi" w:hAnsiTheme="majorHAnsi" w:cstheme="majorHAnsi"/>
          <w:b/>
          <w:sz w:val="24"/>
          <w:szCs w:val="24"/>
        </w:rPr>
        <w:t xml:space="preserve"> </w:t>
      </w:r>
      <w:r w:rsidRPr="003A47A1">
        <w:rPr>
          <w:rFonts w:asciiTheme="majorHAnsi" w:eastAsia="宋体" w:hAnsiTheme="majorHAnsi" w:cstheme="majorHAnsi"/>
          <w:b/>
          <w:sz w:val="24"/>
          <w:szCs w:val="24"/>
          <w:lang w:val="en-US" w:eastAsia="zh-CN"/>
        </w:rPr>
        <w:t xml:space="preserve">WG4 </w:t>
      </w:r>
      <w:r w:rsidRPr="003A47A1">
        <w:rPr>
          <w:rFonts w:asciiTheme="majorHAnsi" w:hAnsiTheme="majorHAnsi" w:cstheme="majorHAnsi"/>
          <w:b/>
          <w:sz w:val="24"/>
          <w:szCs w:val="24"/>
        </w:rPr>
        <w:t>Meeting 1</w:t>
      </w:r>
      <w:r>
        <w:rPr>
          <w:rFonts w:asciiTheme="majorHAnsi" w:hAnsiTheme="majorHAnsi" w:cstheme="majorHAnsi"/>
          <w:b/>
          <w:sz w:val="24"/>
          <w:szCs w:val="24"/>
        </w:rPr>
        <w:t>1</w:t>
      </w:r>
      <w:r w:rsidR="002F22F7">
        <w:rPr>
          <w:rFonts w:asciiTheme="majorHAnsi" w:hAnsiTheme="majorHAnsi" w:cstheme="majorHAnsi"/>
          <w:b/>
          <w:sz w:val="24"/>
          <w:szCs w:val="24"/>
        </w:rPr>
        <w:t>6</w:t>
      </w:r>
      <w:r w:rsidR="00AE48F7">
        <w:rPr>
          <w:rFonts w:asciiTheme="majorHAnsi" w:hAnsiTheme="majorHAnsi" w:cstheme="majorHAnsi"/>
          <w:b/>
          <w:sz w:val="24"/>
          <w:szCs w:val="24"/>
        </w:rPr>
        <w:t>bis</w:t>
      </w:r>
      <w:r w:rsidRPr="003A47A1">
        <w:rPr>
          <w:rFonts w:asciiTheme="majorHAnsi" w:hAnsiTheme="majorHAnsi" w:cstheme="majorHAnsi"/>
          <w:b/>
          <w:i/>
          <w:sz w:val="24"/>
          <w:szCs w:val="24"/>
        </w:rPr>
        <w:tab/>
      </w:r>
      <w:r w:rsidR="00AE48F7" w:rsidRPr="00AE48F7">
        <w:rPr>
          <w:rFonts w:asciiTheme="majorHAnsi" w:eastAsia="宋体" w:hAnsiTheme="majorHAnsi" w:cstheme="majorHAnsi"/>
          <w:b/>
          <w:sz w:val="24"/>
          <w:szCs w:val="24"/>
          <w:lang w:val="en-US" w:eastAsia="zh-CN"/>
        </w:rPr>
        <w:t>R4-2513454</w:t>
      </w:r>
    </w:p>
    <w:p w14:paraId="6C90F906" w14:textId="77777777" w:rsidR="00AE48F7" w:rsidRPr="009901D6" w:rsidRDefault="00AE48F7" w:rsidP="00AE48F7">
      <w:pPr>
        <w:spacing w:before="60" w:after="120"/>
        <w:outlineLvl w:val="0"/>
        <w:rPr>
          <w:rFonts w:ascii="Times New Roman" w:eastAsia="Times New Roman" w:hAnsi="Times New Roman" w:cs="Times New Roman"/>
          <w:b/>
          <w:sz w:val="24"/>
          <w:lang w:val="en-GB" w:eastAsia="en-US"/>
        </w:rPr>
      </w:pPr>
      <w:r w:rsidRPr="009901D6">
        <w:rPr>
          <w:rFonts w:ascii="Times New Roman" w:eastAsia="Times New Roman" w:hAnsi="Times New Roman" w:cs="Times New Roman"/>
          <w:b/>
          <w:sz w:val="24"/>
          <w:lang w:val="en-GB" w:eastAsia="en-US"/>
        </w:rPr>
        <w:t>Prague, Czech Republic, October 13th – 17th, 2025</w:t>
      </w:r>
    </w:p>
    <w:p w14:paraId="551E72EA" w14:textId="77777777" w:rsidR="00A50502" w:rsidRPr="00AE48F7" w:rsidRDefault="00A50502" w:rsidP="00A50502">
      <w:pPr>
        <w:overflowPunct w:val="0"/>
        <w:autoSpaceDE w:val="0"/>
        <w:autoSpaceDN w:val="0"/>
        <w:adjustRightInd w:val="0"/>
        <w:spacing w:after="120"/>
        <w:textAlignment w:val="baseline"/>
        <w:rPr>
          <w:rFonts w:asciiTheme="majorHAnsi" w:hAnsiTheme="majorHAnsi"/>
          <w:b/>
          <w:bCs/>
          <w:szCs w:val="20"/>
          <w:lang w:val="en-GB"/>
        </w:rPr>
      </w:pPr>
    </w:p>
    <w:p w14:paraId="0C2B6F73" w14:textId="77777777" w:rsidR="00A50502" w:rsidRPr="003A47A1" w:rsidRDefault="00A50502" w:rsidP="00A50502">
      <w:pPr>
        <w:tabs>
          <w:tab w:val="left" w:pos="1985"/>
        </w:tabs>
        <w:spacing w:after="120"/>
        <w:rPr>
          <w:rFonts w:asciiTheme="majorHAnsi" w:hAnsiTheme="majorHAnsi"/>
          <w:b/>
          <w:sz w:val="21"/>
        </w:rPr>
      </w:pPr>
      <w:r w:rsidRPr="003A47A1">
        <w:rPr>
          <w:rFonts w:asciiTheme="majorHAnsi" w:hAnsiTheme="majorHAnsi"/>
          <w:b/>
          <w:sz w:val="21"/>
        </w:rPr>
        <w:t xml:space="preserve">Source: </w:t>
      </w:r>
      <w:r w:rsidRPr="003A47A1">
        <w:rPr>
          <w:rFonts w:asciiTheme="majorHAnsi" w:hAnsiTheme="majorHAnsi"/>
          <w:b/>
          <w:sz w:val="21"/>
        </w:rPr>
        <w:tab/>
      </w:r>
      <w:r w:rsidRPr="003A47A1">
        <w:rPr>
          <w:rFonts w:asciiTheme="majorHAnsi" w:hAnsiTheme="majorHAnsi"/>
          <w:sz w:val="21"/>
        </w:rPr>
        <w:t>Xiaomi</w:t>
      </w:r>
    </w:p>
    <w:p w14:paraId="795F4C97" w14:textId="61F8582C" w:rsidR="00A50502" w:rsidRPr="003A47A1" w:rsidRDefault="00A50502" w:rsidP="00A50502">
      <w:pPr>
        <w:spacing w:after="120"/>
        <w:ind w:left="1985" w:hanging="1985"/>
        <w:rPr>
          <w:rFonts w:asciiTheme="majorHAnsi" w:hAnsiTheme="majorHAnsi"/>
          <w:sz w:val="21"/>
        </w:rPr>
      </w:pPr>
      <w:r w:rsidRPr="003A47A1">
        <w:rPr>
          <w:rFonts w:asciiTheme="majorHAnsi" w:hAnsiTheme="majorHAnsi"/>
          <w:b/>
          <w:sz w:val="21"/>
        </w:rPr>
        <w:t>Title:</w:t>
      </w:r>
      <w:r w:rsidRPr="003A47A1">
        <w:rPr>
          <w:rFonts w:asciiTheme="majorHAnsi" w:hAnsiTheme="majorHAnsi"/>
          <w:sz w:val="21"/>
        </w:rPr>
        <w:t xml:space="preserve"> </w:t>
      </w:r>
      <w:r w:rsidRPr="003A47A1">
        <w:rPr>
          <w:rFonts w:asciiTheme="majorHAnsi" w:hAnsiTheme="majorHAnsi"/>
          <w:sz w:val="21"/>
        </w:rPr>
        <w:tab/>
        <w:t xml:space="preserve">Discussion on </w:t>
      </w:r>
      <w:r>
        <w:rPr>
          <w:rFonts w:asciiTheme="majorHAnsi" w:hAnsiTheme="majorHAnsi"/>
          <w:sz w:val="21"/>
        </w:rPr>
        <w:t>performance</w:t>
      </w:r>
      <w:r w:rsidRPr="003A47A1">
        <w:rPr>
          <w:rFonts w:asciiTheme="majorHAnsi" w:hAnsiTheme="majorHAnsi"/>
          <w:sz w:val="21"/>
        </w:rPr>
        <w:t xml:space="preserve"> requirement for AI beam management</w:t>
      </w:r>
    </w:p>
    <w:p w14:paraId="580A3770" w14:textId="4582D5A0" w:rsidR="00A50502" w:rsidRPr="003A47A1" w:rsidRDefault="00A50502" w:rsidP="00A50502">
      <w:pPr>
        <w:spacing w:after="120"/>
        <w:ind w:left="1985" w:hanging="1985"/>
        <w:rPr>
          <w:rFonts w:asciiTheme="majorHAnsi" w:hAnsiTheme="majorHAnsi"/>
          <w:sz w:val="21"/>
          <w:highlight w:val="yellow"/>
        </w:rPr>
      </w:pPr>
      <w:r w:rsidRPr="003A47A1">
        <w:rPr>
          <w:rFonts w:asciiTheme="majorHAnsi" w:hAnsiTheme="majorHAnsi"/>
          <w:b/>
          <w:sz w:val="21"/>
        </w:rPr>
        <w:t>Agenda Item:</w:t>
      </w:r>
      <w:r w:rsidRPr="003A47A1">
        <w:rPr>
          <w:rFonts w:asciiTheme="majorHAnsi" w:hAnsiTheme="majorHAnsi"/>
          <w:sz w:val="21"/>
        </w:rPr>
        <w:tab/>
      </w:r>
      <w:r w:rsidR="00AE48F7">
        <w:rPr>
          <w:rFonts w:asciiTheme="majorHAnsi" w:hAnsiTheme="majorHAnsi"/>
          <w:sz w:val="21"/>
        </w:rPr>
        <w:t>6.11.6</w:t>
      </w:r>
    </w:p>
    <w:p w14:paraId="1AFDA3D3" w14:textId="77777777" w:rsidR="00A50502" w:rsidRPr="003A47A1" w:rsidRDefault="00A50502" w:rsidP="00A50502">
      <w:pPr>
        <w:tabs>
          <w:tab w:val="left" w:pos="1990"/>
        </w:tabs>
        <w:spacing w:after="120"/>
        <w:rPr>
          <w:rFonts w:asciiTheme="majorHAnsi" w:hAnsiTheme="majorHAnsi"/>
          <w:sz w:val="21"/>
        </w:rPr>
      </w:pPr>
      <w:r w:rsidRPr="003A47A1">
        <w:rPr>
          <w:rFonts w:asciiTheme="majorHAnsi" w:hAnsiTheme="majorHAnsi"/>
          <w:b/>
          <w:sz w:val="21"/>
        </w:rPr>
        <w:t>Document for:</w:t>
      </w:r>
      <w:r w:rsidRPr="003A47A1">
        <w:rPr>
          <w:rFonts w:asciiTheme="majorHAnsi" w:hAnsiTheme="majorHAnsi"/>
          <w:sz w:val="21"/>
        </w:rPr>
        <w:tab/>
        <w:t>Discussion</w:t>
      </w:r>
    </w:p>
    <w:bookmarkEnd w:id="0"/>
    <w:bookmarkEnd w:id="1"/>
    <w:p w14:paraId="0F828ADB"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Introduction</w:t>
      </w:r>
    </w:p>
    <w:p w14:paraId="1346E0B3" w14:textId="60007AFA" w:rsidR="002D3B94" w:rsidRDefault="002D3B94" w:rsidP="00A50502">
      <w:pPr>
        <w:overflowPunct w:val="0"/>
        <w:autoSpaceDE w:val="0"/>
        <w:autoSpaceDN w:val="0"/>
        <w:adjustRightInd w:val="0"/>
        <w:spacing w:before="120" w:after="120" w:line="288" w:lineRule="auto"/>
        <w:textAlignment w:val="baseline"/>
      </w:pPr>
      <w:r>
        <w:t>This contribution refines the performance metrics for AI-based beam management (BM) and proposes concrete requirements aligned with prior RAN1 agreements and legacy (non-AI) reporting. We discussed the following issues:</w:t>
      </w:r>
    </w:p>
    <w:tbl>
      <w:tblPr>
        <w:tblStyle w:val="ad"/>
        <w:tblW w:w="0" w:type="auto"/>
        <w:tblLook w:val="04A0" w:firstRow="1" w:lastRow="0" w:firstColumn="1" w:lastColumn="0" w:noHBand="0" w:noVBand="1"/>
      </w:tblPr>
      <w:tblGrid>
        <w:gridCol w:w="9628"/>
      </w:tblGrid>
      <w:tr w:rsidR="002D3B94" w14:paraId="03A98F87" w14:textId="77777777" w:rsidTr="002D3B94">
        <w:tc>
          <w:tcPr>
            <w:tcW w:w="9628" w:type="dxa"/>
          </w:tcPr>
          <w:p w14:paraId="69AC5CAA" w14:textId="0835A7EA" w:rsidR="002D3B94" w:rsidRPr="00840E1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840E14">
              <w:rPr>
                <w:rFonts w:asciiTheme="majorHAnsi" w:hAnsiTheme="majorHAnsi"/>
                <w:bCs/>
                <w:lang w:eastAsia="ko-KR"/>
              </w:rPr>
              <w:t>Harmonize beam-index prediction KPIs with the RAN1 Top-M-in-Top-K metric.</w:t>
            </w:r>
          </w:p>
          <w:p w14:paraId="146BC239" w14:textId="4DBB608C" w:rsidR="002D3B94" w:rsidRPr="00840E1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840E14">
              <w:rPr>
                <w:rFonts w:asciiTheme="majorHAnsi" w:hAnsiTheme="majorHAnsi"/>
                <w:bCs/>
                <w:lang w:eastAsia="ko-KR"/>
              </w:rPr>
              <w:t>Scope absolute RSRP accuracy requirements to the Top-1 predicted beam only.</w:t>
            </w:r>
          </w:p>
          <w:p w14:paraId="0506BDBB" w14:textId="2873C961" w:rsidR="002D3B94" w:rsidRPr="002D3B9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2D3B94">
              <w:rPr>
                <w:rFonts w:asciiTheme="majorHAnsi" w:hAnsiTheme="majorHAnsi"/>
                <w:bCs/>
                <w:lang w:eastAsia="ko-KR"/>
              </w:rPr>
              <w:t>Provide a unified relative-accuracy definition applicable to both BM case-1 and BM case-2.</w:t>
            </w:r>
          </w:p>
          <w:p w14:paraId="6EA96B2C" w14:textId="7D016500" w:rsidR="002D3B94" w:rsidRPr="002D3B9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2D3B94">
              <w:rPr>
                <w:rFonts w:asciiTheme="majorHAnsi" w:hAnsiTheme="majorHAnsi"/>
                <w:bCs/>
                <w:lang w:eastAsia="ko-KR"/>
              </w:rPr>
              <w:t>Identify and align simulation parameters essential for reproducibility across companies, including:</w:t>
            </w:r>
          </w:p>
          <w:p w14:paraId="748178AF" w14:textId="77777777" w:rsidR="002D3B94" w:rsidRPr="002D3B94" w:rsidRDefault="002D3B94" w:rsidP="002D3B94">
            <w:pPr>
              <w:numPr>
                <w:ilvl w:val="0"/>
                <w:numId w:val="18"/>
              </w:numPr>
              <w:spacing w:before="100" w:beforeAutospacing="1" w:afterLines="0" w:after="100" w:afterAutospacing="1"/>
              <w:rPr>
                <w:rFonts w:asciiTheme="majorHAnsi" w:eastAsia="宋体" w:hAnsiTheme="majorHAnsi"/>
                <w:kern w:val="0"/>
                <w:szCs w:val="20"/>
              </w:rPr>
            </w:pPr>
            <w:r w:rsidRPr="002D3B94">
              <w:rPr>
                <w:rFonts w:asciiTheme="majorHAnsi" w:eastAsia="宋体" w:hAnsiTheme="majorHAnsi"/>
                <w:kern w:val="0"/>
                <w:szCs w:val="20"/>
              </w:rPr>
              <w:t>Measurement-error modeling.</w:t>
            </w:r>
          </w:p>
          <w:p w14:paraId="2F30F166" w14:textId="0F13DDEE" w:rsidR="002D3B94" w:rsidRPr="002D3B94" w:rsidRDefault="002D3B94" w:rsidP="002D3B94">
            <w:pPr>
              <w:numPr>
                <w:ilvl w:val="0"/>
                <w:numId w:val="18"/>
              </w:numPr>
              <w:spacing w:before="100" w:beforeAutospacing="1" w:afterLines="0" w:after="120" w:afterAutospacing="1"/>
              <w:rPr>
                <w:rFonts w:asciiTheme="majorHAnsi" w:eastAsia="宋体" w:hAnsiTheme="majorHAnsi"/>
                <w:kern w:val="0"/>
                <w:szCs w:val="20"/>
              </w:rPr>
            </w:pPr>
            <w:r w:rsidRPr="002D3B94">
              <w:rPr>
                <w:rFonts w:asciiTheme="majorHAnsi" w:eastAsia="宋体" w:hAnsiTheme="majorHAnsi"/>
                <w:kern w:val="0"/>
                <w:szCs w:val="20"/>
              </w:rPr>
              <w:t>SNR distribution assumptions.</w:t>
            </w:r>
          </w:p>
        </w:tc>
      </w:tr>
    </w:tbl>
    <w:p w14:paraId="3F821845"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Discussion</w:t>
      </w:r>
    </w:p>
    <w:p w14:paraId="7CE9E5E8" w14:textId="77777777" w:rsidR="00A50502" w:rsidRPr="003A47A1" w:rsidRDefault="00A50502" w:rsidP="00420833">
      <w:pPr>
        <w:pStyle w:val="2"/>
        <w:numPr>
          <w:ilvl w:val="3"/>
          <w:numId w:val="3"/>
        </w:numPr>
        <w:tabs>
          <w:tab w:val="left" w:pos="2880"/>
        </w:tabs>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 xml:space="preserve">2.1 Performance metric </w:t>
      </w:r>
    </w:p>
    <w:p w14:paraId="3425E321" w14:textId="77777777" w:rsidR="00A50502" w:rsidRPr="003A47A1" w:rsidRDefault="00A50502" w:rsidP="00A50502">
      <w:pPr>
        <w:pStyle w:val="3"/>
        <w:spacing w:before="240" w:after="120"/>
        <w:rPr>
          <w:rFonts w:asciiTheme="majorHAnsi" w:hAnsiTheme="majorHAnsi" w:cstheme="majorHAnsi"/>
          <w:sz w:val="24"/>
          <w:szCs w:val="24"/>
        </w:rPr>
      </w:pPr>
      <w:r w:rsidRPr="003A47A1">
        <w:rPr>
          <w:rFonts w:asciiTheme="majorHAnsi" w:hAnsiTheme="majorHAnsi" w:cstheme="majorHAnsi"/>
          <w:sz w:val="24"/>
          <w:szCs w:val="24"/>
        </w:rPr>
        <w:t>2.1.</w:t>
      </w:r>
      <w:r>
        <w:rPr>
          <w:rFonts w:asciiTheme="majorHAnsi" w:hAnsiTheme="majorHAnsi" w:cstheme="majorHAnsi"/>
          <w:sz w:val="24"/>
          <w:szCs w:val="24"/>
        </w:rPr>
        <w:t>1</w:t>
      </w:r>
      <w:r w:rsidRPr="003A47A1">
        <w:rPr>
          <w:rFonts w:asciiTheme="majorHAnsi" w:hAnsiTheme="majorHAnsi" w:cstheme="majorHAnsi"/>
          <w:sz w:val="24"/>
          <w:szCs w:val="24"/>
        </w:rPr>
        <w:t xml:space="preserve"> Beam ID accuracy</w:t>
      </w:r>
    </w:p>
    <w:p w14:paraId="2C87278E" w14:textId="7F797F44" w:rsidR="00A50502" w:rsidRDefault="00A50502" w:rsidP="00A50502">
      <w:pPr>
        <w:spacing w:beforeLines="50" w:before="120" w:after="120"/>
        <w:rPr>
          <w:rFonts w:asciiTheme="majorHAnsi" w:hAnsiTheme="majorHAnsi"/>
          <w:lang w:val="en-GB"/>
        </w:rPr>
      </w:pPr>
      <w:r w:rsidRPr="003A47A1">
        <w:rPr>
          <w:rFonts w:asciiTheme="majorHAnsi" w:hAnsiTheme="majorHAnsi"/>
          <w:lang w:val="en-GB"/>
        </w:rPr>
        <w:t xml:space="preserve">In </w:t>
      </w:r>
      <w:r w:rsidR="00700354">
        <w:rPr>
          <w:rFonts w:asciiTheme="majorHAnsi" w:hAnsiTheme="majorHAnsi"/>
          <w:lang w:val="en-GB"/>
        </w:rPr>
        <w:t>RAN4#11</w:t>
      </w:r>
      <w:r w:rsidR="0098516A">
        <w:rPr>
          <w:rFonts w:asciiTheme="majorHAnsi" w:hAnsiTheme="majorHAnsi"/>
          <w:lang w:val="en-GB"/>
        </w:rPr>
        <w:t>6</w:t>
      </w:r>
      <w:r w:rsidRPr="003A47A1">
        <w:rPr>
          <w:rFonts w:asciiTheme="majorHAnsi" w:hAnsiTheme="majorHAnsi"/>
          <w:lang w:val="en-GB"/>
        </w:rPr>
        <w:t xml:space="preserve"> meeting, metrics for beam ID prediction is agreed:</w:t>
      </w:r>
    </w:p>
    <w:tbl>
      <w:tblPr>
        <w:tblStyle w:val="ad"/>
        <w:tblW w:w="0" w:type="auto"/>
        <w:tblLook w:val="04A0" w:firstRow="1" w:lastRow="0" w:firstColumn="1" w:lastColumn="0" w:noHBand="0" w:noVBand="1"/>
      </w:tblPr>
      <w:tblGrid>
        <w:gridCol w:w="9628"/>
      </w:tblGrid>
      <w:tr w:rsidR="0098516A" w14:paraId="0D01634C" w14:textId="77777777" w:rsidTr="0098516A">
        <w:tc>
          <w:tcPr>
            <w:tcW w:w="9628" w:type="dxa"/>
          </w:tcPr>
          <w:p w14:paraId="094B107D" w14:textId="77777777" w:rsidR="0098516A" w:rsidRPr="008C66D7" w:rsidRDefault="0098516A" w:rsidP="0098516A">
            <w:pPr>
              <w:spacing w:after="120"/>
              <w:rPr>
                <w:rFonts w:eastAsia="Yu Mincho"/>
                <w:b/>
                <w:u w:val="single"/>
                <w:lang w:eastAsia="ja-JP"/>
              </w:rPr>
            </w:pPr>
            <w:r w:rsidRPr="008C66D7">
              <w:rPr>
                <w:b/>
                <w:u w:val="single"/>
                <w:lang w:eastAsia="ko-KR"/>
              </w:rPr>
              <w:t>Issue 2-</w:t>
            </w:r>
            <w:r w:rsidRPr="008C66D7">
              <w:rPr>
                <w:rFonts w:eastAsia="Yu Mincho"/>
                <w:b/>
                <w:u w:val="single"/>
                <w:lang w:eastAsia="ja-JP"/>
              </w:rPr>
              <w:t>9</w:t>
            </w:r>
            <w:r w:rsidRPr="008C66D7">
              <w:rPr>
                <w:b/>
                <w:u w:val="single"/>
                <w:lang w:eastAsia="ko-KR"/>
              </w:rPr>
              <w:t xml:space="preserve">: Metrics/KPIs for </w:t>
            </w:r>
            <w:r w:rsidRPr="008C66D7">
              <w:rPr>
                <w:rFonts w:eastAsia="Yu Mincho"/>
                <w:b/>
                <w:u w:val="single"/>
                <w:lang w:eastAsia="ja-JP"/>
              </w:rPr>
              <w:t>beam ID prediction</w:t>
            </w:r>
          </w:p>
          <w:p w14:paraId="1FC42F87" w14:textId="77777777" w:rsidR="0098516A" w:rsidRPr="008C66D7" w:rsidRDefault="0098516A" w:rsidP="0098516A">
            <w:pPr>
              <w:pStyle w:val="ab"/>
              <w:spacing w:after="120"/>
              <w:ind w:firstLine="400"/>
              <w:rPr>
                <w:szCs w:val="24"/>
              </w:rPr>
            </w:pPr>
            <w:r w:rsidRPr="008C66D7">
              <w:rPr>
                <w:szCs w:val="24"/>
              </w:rPr>
              <w:t>Agreement:</w:t>
            </w:r>
          </w:p>
          <w:p w14:paraId="446016A6" w14:textId="77777777" w:rsidR="0098516A" w:rsidRPr="0098516A" w:rsidRDefault="0098516A" w:rsidP="0098516A">
            <w:pPr>
              <w:pStyle w:val="ab"/>
              <w:numPr>
                <w:ilvl w:val="0"/>
                <w:numId w:val="10"/>
              </w:numPr>
              <w:overflowPunct w:val="0"/>
              <w:autoSpaceDE w:val="0"/>
              <w:autoSpaceDN w:val="0"/>
              <w:adjustRightInd w:val="0"/>
              <w:spacing w:after="120"/>
              <w:ind w:firstLineChars="0"/>
              <w:contextualSpacing/>
              <w:textAlignment w:val="baseline"/>
              <w:rPr>
                <w:rFonts w:asciiTheme="majorHAnsi" w:hAnsiTheme="majorHAnsi"/>
                <w:sz w:val="21"/>
              </w:rPr>
            </w:pPr>
            <w:r w:rsidRPr="0098516A">
              <w:rPr>
                <w:rFonts w:asciiTheme="majorHAnsi" w:hAnsiTheme="majorHAnsi"/>
                <w:sz w:val="21"/>
              </w:rPr>
              <w:t xml:space="preserve">If RSRP prediction is reported, absolute/relative RSRP requirements applies to </w:t>
            </w:r>
          </w:p>
          <w:p w14:paraId="3551B885" w14:textId="745EA935" w:rsidR="0098516A" w:rsidRPr="00731630" w:rsidRDefault="0098516A" w:rsidP="00731630">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731630">
              <w:rPr>
                <w:rFonts w:asciiTheme="majorHAnsi" w:hAnsiTheme="majorHAnsi"/>
                <w:sz w:val="21"/>
                <w:lang w:eastAsia="x-none"/>
              </w:rPr>
              <w:t>reported beams where SNR side condition is met</w:t>
            </w:r>
          </w:p>
          <w:p w14:paraId="1B209478" w14:textId="77777777" w:rsidR="0098516A" w:rsidRPr="00731630" w:rsidRDefault="0098516A" w:rsidP="00731630">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731630">
              <w:rPr>
                <w:rFonts w:asciiTheme="majorHAnsi" w:hAnsiTheme="majorHAnsi"/>
                <w:sz w:val="21"/>
                <w:lang w:eastAsia="x-none"/>
              </w:rPr>
              <w:t>The exact RSRP reporting including both absolute and relative will be defined in RAN1</w:t>
            </w:r>
          </w:p>
          <w:p w14:paraId="4BEC8461" w14:textId="77777777" w:rsidR="0098516A" w:rsidRPr="00731630" w:rsidRDefault="0098516A" w:rsidP="00731630">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731630">
              <w:rPr>
                <w:rFonts w:asciiTheme="majorHAnsi" w:hAnsiTheme="majorHAnsi"/>
                <w:sz w:val="21"/>
                <w:lang w:eastAsia="x-none"/>
              </w:rPr>
              <w:t xml:space="preserve">The related test can only apply to the top-K, where the value of K is FFS, beams. </w:t>
            </w:r>
          </w:p>
          <w:p w14:paraId="4B9F4D56" w14:textId="77777777" w:rsidR="0098516A" w:rsidRPr="00BF246A" w:rsidRDefault="0098516A" w:rsidP="00BF246A">
            <w:pPr>
              <w:pStyle w:val="ab"/>
              <w:numPr>
                <w:ilvl w:val="1"/>
                <w:numId w:val="21"/>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BF246A">
              <w:rPr>
                <w:rFonts w:asciiTheme="majorHAnsi" w:hAnsiTheme="majorHAnsi"/>
                <w:sz w:val="21"/>
                <w:lang w:eastAsia="x-none"/>
              </w:rPr>
              <w:t>The legacy beam management test and parameters can be taken as the reference to decide the exact value of K</w:t>
            </w:r>
          </w:p>
          <w:p w14:paraId="3966BCC0" w14:textId="77777777" w:rsidR="0098516A" w:rsidRPr="00BF246A" w:rsidRDefault="0098516A" w:rsidP="00BF246A">
            <w:pPr>
              <w:pStyle w:val="ab"/>
              <w:numPr>
                <w:ilvl w:val="1"/>
                <w:numId w:val="21"/>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BF246A">
              <w:rPr>
                <w:rFonts w:asciiTheme="majorHAnsi" w:hAnsiTheme="majorHAnsi"/>
                <w:sz w:val="21"/>
                <w:lang w:eastAsia="x-none"/>
              </w:rPr>
              <w:t xml:space="preserve">The feasibility of the test will be further discussed and decided. </w:t>
            </w:r>
          </w:p>
          <w:p w14:paraId="72BE63A3" w14:textId="77777777" w:rsidR="0098516A" w:rsidRPr="0098516A" w:rsidRDefault="0098516A" w:rsidP="00A50502">
            <w:pPr>
              <w:spacing w:beforeLines="50" w:before="120" w:after="120"/>
              <w:rPr>
                <w:rFonts w:asciiTheme="majorHAnsi" w:hAnsiTheme="majorHAnsi"/>
                <w:szCs w:val="20"/>
              </w:rPr>
            </w:pPr>
          </w:p>
        </w:tc>
      </w:tr>
    </w:tbl>
    <w:p w14:paraId="73143F39" w14:textId="77777777" w:rsidR="0098516A" w:rsidRPr="003A47A1" w:rsidRDefault="0098516A" w:rsidP="00A50502">
      <w:pPr>
        <w:spacing w:beforeLines="50" w:before="120" w:after="120"/>
        <w:rPr>
          <w:rFonts w:asciiTheme="majorHAnsi" w:hAnsiTheme="majorHAnsi"/>
          <w:szCs w:val="20"/>
        </w:rPr>
      </w:pPr>
    </w:p>
    <w:p w14:paraId="692D5894" w14:textId="72B69362" w:rsidR="00A50502" w:rsidRPr="003A47A1" w:rsidRDefault="00A50502" w:rsidP="00A50502">
      <w:pPr>
        <w:pStyle w:val="a3"/>
        <w:spacing w:beforeLines="100" w:before="240" w:after="120" w:line="240" w:lineRule="auto"/>
        <w:rPr>
          <w:rFonts w:asciiTheme="majorHAnsi" w:hAnsiTheme="majorHAnsi" w:cstheme="majorHAnsi"/>
          <w:sz w:val="21"/>
          <w:szCs w:val="21"/>
        </w:rPr>
      </w:pPr>
      <w:r>
        <w:rPr>
          <w:rFonts w:asciiTheme="majorHAnsi" w:hAnsiTheme="majorHAnsi" w:cstheme="majorHAnsi"/>
          <w:sz w:val="21"/>
          <w:szCs w:val="21"/>
        </w:rPr>
        <w:t xml:space="preserve">In </w:t>
      </w:r>
      <w:r w:rsidR="00700354">
        <w:rPr>
          <w:rFonts w:asciiTheme="majorHAnsi" w:hAnsiTheme="majorHAnsi" w:cstheme="majorHAnsi"/>
          <w:sz w:val="21"/>
          <w:szCs w:val="21"/>
        </w:rPr>
        <w:t>RAN1#120b</w:t>
      </w:r>
      <w:r>
        <w:rPr>
          <w:rFonts w:asciiTheme="majorHAnsi" w:hAnsiTheme="majorHAnsi" w:cstheme="majorHAnsi"/>
          <w:sz w:val="21"/>
          <w:szCs w:val="21"/>
        </w:rPr>
        <w:t xml:space="preserve">, </w:t>
      </w:r>
      <w:r w:rsidRPr="003A47A1">
        <w:rPr>
          <w:rFonts w:asciiTheme="majorHAnsi" w:hAnsiTheme="majorHAnsi" w:cstheme="majorHAnsi"/>
          <w:sz w:val="21"/>
          <w:szCs w:val="21"/>
        </w:rPr>
        <w:t xml:space="preserve">Top-M/K is also agreed as </w:t>
      </w:r>
      <w:r>
        <w:rPr>
          <w:rFonts w:asciiTheme="majorHAnsi" w:hAnsiTheme="majorHAnsi" w:cstheme="majorHAnsi"/>
          <w:sz w:val="21"/>
          <w:szCs w:val="21"/>
        </w:rPr>
        <w:t>KPI</w:t>
      </w:r>
      <w:r w:rsidRPr="003A47A1">
        <w:rPr>
          <w:rFonts w:asciiTheme="majorHAnsi" w:hAnsiTheme="majorHAnsi" w:cstheme="majorHAnsi"/>
          <w:sz w:val="21"/>
          <w:szCs w:val="21"/>
        </w:rPr>
        <w:t xml:space="preserve"> for UE-assisted performance monitoring</w:t>
      </w:r>
      <w:r>
        <w:rPr>
          <w:rFonts w:asciiTheme="majorHAnsi" w:hAnsiTheme="majorHAnsi" w:cstheme="majorHAnsi"/>
          <w:sz w:val="21"/>
          <w:szCs w:val="21"/>
        </w:rPr>
        <w:t xml:space="preserve"> in RAN1</w:t>
      </w:r>
      <w:r w:rsidRPr="003A47A1">
        <w:rPr>
          <w:rFonts w:asciiTheme="majorHAnsi" w:hAnsiTheme="majorHAnsi" w:cstheme="majorHAnsi"/>
          <w:sz w:val="21"/>
          <w:szCs w:val="21"/>
        </w:rPr>
        <w:t>, which is shown as below:</w:t>
      </w:r>
    </w:p>
    <w:tbl>
      <w:tblPr>
        <w:tblStyle w:val="ad"/>
        <w:tblW w:w="0" w:type="auto"/>
        <w:tblLook w:val="04A0" w:firstRow="1" w:lastRow="0" w:firstColumn="1" w:lastColumn="0" w:noHBand="0" w:noVBand="1"/>
      </w:tblPr>
      <w:tblGrid>
        <w:gridCol w:w="9628"/>
      </w:tblGrid>
      <w:tr w:rsidR="00A50502" w:rsidRPr="003A47A1" w14:paraId="0E2B340E" w14:textId="77777777" w:rsidTr="007E215B">
        <w:tc>
          <w:tcPr>
            <w:tcW w:w="9628" w:type="dxa"/>
          </w:tcPr>
          <w:p w14:paraId="0BAC175D" w14:textId="77777777" w:rsidR="00A50502" w:rsidRPr="003A47A1" w:rsidRDefault="00A50502" w:rsidP="007E215B">
            <w:pPr>
              <w:spacing w:after="120"/>
              <w:rPr>
                <w:rFonts w:asciiTheme="majorHAnsi" w:eastAsia="等线" w:hAnsiTheme="majorHAnsi"/>
                <w:sz w:val="21"/>
                <w:highlight w:val="green"/>
              </w:rPr>
            </w:pPr>
            <w:r w:rsidRPr="003A47A1">
              <w:rPr>
                <w:rFonts w:asciiTheme="majorHAnsi" w:eastAsia="等线" w:hAnsiTheme="majorHAnsi"/>
                <w:sz w:val="21"/>
                <w:highlight w:val="green"/>
              </w:rPr>
              <w:t>RAN1#120b Agreement</w:t>
            </w:r>
          </w:p>
          <w:p w14:paraId="6408F172" w14:textId="77777777" w:rsidR="00A50502" w:rsidRPr="003A47A1" w:rsidRDefault="00A50502" w:rsidP="007E215B">
            <w:pPr>
              <w:tabs>
                <w:tab w:val="left" w:pos="720"/>
                <w:tab w:val="left" w:pos="1440"/>
              </w:tabs>
              <w:spacing w:after="120"/>
              <w:textAlignment w:val="center"/>
              <w:rPr>
                <w:rFonts w:asciiTheme="majorHAnsi" w:hAnsiTheme="majorHAnsi"/>
                <w:sz w:val="21"/>
              </w:rPr>
            </w:pPr>
            <w:r w:rsidRPr="003A47A1">
              <w:rPr>
                <w:rFonts w:asciiTheme="majorHAnsi" w:hAnsiTheme="majorHAnsi"/>
                <w:sz w:val="21"/>
              </w:rPr>
              <w:t>For UE-sided AI/ML model for beam management, for Option 2 (UE-assisted performance monitoring), the performance metric of Top 1 or Top K beam prediction accuracy is defined as:</w:t>
            </w:r>
          </w:p>
          <w:p w14:paraId="46239820" w14:textId="77777777" w:rsidR="00A50502" w:rsidRPr="003A47A1" w:rsidRDefault="00A50502" w:rsidP="00420833">
            <w:pPr>
              <w:pStyle w:val="ab"/>
              <w:numPr>
                <w:ilvl w:val="0"/>
                <w:numId w:val="10"/>
              </w:numPr>
              <w:overflowPunct w:val="0"/>
              <w:autoSpaceDE w:val="0"/>
              <w:autoSpaceDN w:val="0"/>
              <w:adjustRightInd w:val="0"/>
              <w:spacing w:after="120"/>
              <w:ind w:firstLineChars="0"/>
              <w:contextualSpacing/>
              <w:textAlignment w:val="baseline"/>
              <w:rPr>
                <w:rFonts w:asciiTheme="majorHAnsi" w:hAnsiTheme="majorHAnsi"/>
                <w:sz w:val="21"/>
              </w:rPr>
            </w:pPr>
            <w:r w:rsidRPr="003A47A1">
              <w:rPr>
                <w:rFonts w:asciiTheme="majorHAnsi" w:hAnsiTheme="majorHAnsi"/>
                <w:sz w:val="21"/>
              </w:rPr>
              <w:lastRenderedPageBreak/>
              <w:t>At least one of the Top M beam(s) of the resource set(s) for monitoring is among Top-K predicted beam(s) of Set A</w:t>
            </w:r>
            <w:r w:rsidRPr="003A47A1">
              <w:rPr>
                <w:rFonts w:asciiTheme="majorHAnsi" w:eastAsia="等线" w:hAnsiTheme="majorHAnsi"/>
                <w:sz w:val="21"/>
              </w:rPr>
              <w:t xml:space="preserve"> (e.g., linked to at least one of the </w:t>
            </w:r>
            <w:r w:rsidRPr="003A47A1">
              <w:rPr>
                <w:rFonts w:asciiTheme="majorHAnsi" w:hAnsiTheme="majorHAnsi"/>
                <w:sz w:val="21"/>
              </w:rPr>
              <w:t>Top-K predicted beam(s) of Set A</w:t>
            </w:r>
            <w:r w:rsidRPr="003A47A1">
              <w:rPr>
                <w:rFonts w:asciiTheme="majorHAnsi" w:eastAsia="等线" w:hAnsiTheme="majorHAnsi"/>
                <w:sz w:val="21"/>
              </w:rPr>
              <w:t xml:space="preserve"> based on certain rule or signalling)</w:t>
            </w:r>
          </w:p>
          <w:p w14:paraId="5E8FEB2D"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 xml:space="preserve">Where K is the number of predicted beam(s) in the corresponding inference report </w:t>
            </w:r>
            <w:r w:rsidRPr="003A47A1">
              <w:rPr>
                <w:rFonts w:asciiTheme="majorHAnsi" w:eastAsia="等线" w:hAnsiTheme="majorHAnsi"/>
                <w:sz w:val="21"/>
              </w:rPr>
              <w:t>per time instance</w:t>
            </w:r>
          </w:p>
          <w:p w14:paraId="523DF83C"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Where Top M beam(s) is the best M beam(s) based on L1-RSRP measurements of the resource set(s) for monitoring</w:t>
            </w:r>
          </w:p>
          <w:p w14:paraId="2E68FC4D"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M is configured by NW in CSI report configuration for monitoring</w:t>
            </w:r>
          </w:p>
          <w:p w14:paraId="0CA3DC09" w14:textId="77777777" w:rsidR="00A50502" w:rsidRPr="003A47A1" w:rsidRDefault="00A50502" w:rsidP="00420833">
            <w:pPr>
              <w:pStyle w:val="ab"/>
              <w:numPr>
                <w:ilvl w:val="2"/>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M= 1, 2</w:t>
            </w:r>
          </w:p>
          <w:p w14:paraId="053CF261"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eastAsia="等线" w:hAnsiTheme="majorHAnsi"/>
                <w:sz w:val="21"/>
              </w:rPr>
              <w:t>FFS: detailed rule or signalling</w:t>
            </w:r>
          </w:p>
        </w:tc>
      </w:tr>
    </w:tbl>
    <w:p w14:paraId="2A78B522" w14:textId="77777777" w:rsidR="00A50502" w:rsidRPr="003A47A1" w:rsidRDefault="00A50502" w:rsidP="00A50502">
      <w:pPr>
        <w:pStyle w:val="a3"/>
        <w:spacing w:after="120" w:line="240" w:lineRule="auto"/>
        <w:rPr>
          <w:rFonts w:asciiTheme="majorHAnsi" w:hAnsiTheme="majorHAnsi" w:cstheme="majorHAnsi"/>
          <w:b/>
          <w:bCs/>
          <w:lang w:val="en-GB"/>
        </w:rPr>
      </w:pPr>
    </w:p>
    <w:p w14:paraId="73C9AE18" w14:textId="77777777" w:rsidR="00A50502" w:rsidRPr="003A47A1" w:rsidRDefault="00A50502" w:rsidP="00A50502">
      <w:pPr>
        <w:spacing w:afterLines="100" w:after="240"/>
        <w:textAlignment w:val="center"/>
        <w:rPr>
          <w:rFonts w:asciiTheme="majorHAnsi" w:hAnsiTheme="majorHAnsi"/>
          <w:szCs w:val="20"/>
          <w:highlight w:val="yellow"/>
        </w:rPr>
      </w:pPr>
      <w:bookmarkStart w:id="2" w:name="OLE_LINK32"/>
      <w:r w:rsidRPr="003A47A1">
        <w:rPr>
          <w:rFonts w:asciiTheme="majorHAnsi" w:hAnsiTheme="majorHAnsi"/>
          <w:b/>
          <w:bCs/>
          <w:lang w:val="en-GB"/>
        </w:rPr>
        <w:t xml:space="preserve">Observation </w:t>
      </w:r>
      <w:r>
        <w:rPr>
          <w:rFonts w:asciiTheme="majorHAnsi" w:hAnsiTheme="majorHAnsi"/>
          <w:b/>
          <w:bCs/>
          <w:lang w:val="en-GB"/>
        </w:rPr>
        <w:t>1</w:t>
      </w:r>
      <w:r w:rsidRPr="003A47A1">
        <w:rPr>
          <w:rFonts w:asciiTheme="majorHAnsi" w:hAnsiTheme="majorHAnsi"/>
          <w:b/>
          <w:bCs/>
          <w:lang w:val="en-GB"/>
        </w:rPr>
        <w:t xml:space="preserve">: The similar metric Top-K/M is agreed in RAN1 performance monitoring, where </w:t>
      </w:r>
      <w:r w:rsidRPr="003A47A1">
        <w:rPr>
          <w:rFonts w:asciiTheme="majorHAnsi" w:hAnsiTheme="majorHAnsi"/>
          <w:b/>
          <w:bCs/>
          <w:szCs w:val="20"/>
        </w:rPr>
        <w:t>at least one of the Top M beam(s) of the resource set(s) for monitoring is among Top-K predicted beam(s).</w:t>
      </w:r>
    </w:p>
    <w:bookmarkEnd w:id="2"/>
    <w:p w14:paraId="01DD277E" w14:textId="473B9E27" w:rsidR="0062196E" w:rsidRPr="00537A07" w:rsidRDefault="0062196E" w:rsidP="00A50502">
      <w:pPr>
        <w:pStyle w:val="a3"/>
        <w:spacing w:after="120" w:line="240" w:lineRule="auto"/>
        <w:rPr>
          <w:rFonts w:asciiTheme="majorHAnsi" w:hAnsiTheme="majorHAnsi" w:cstheme="majorHAnsi"/>
        </w:rPr>
      </w:pPr>
      <w:r>
        <w:t>To ensure consistency across Working Groups and to leverage prior consensus, we propose that the RAN1 Top-M-in-Top-K metric be included as a baseline KPI in RAN4’s inference-report framework, with the RSRP-margin criterion implemented as an optional refinement parameter (</w:t>
      </w:r>
      <w:r>
        <w:rPr>
          <w:rStyle w:val="af9"/>
        </w:rPr>
        <w:t>x</w:t>
      </w:r>
      <w:r>
        <w:t xml:space="preserve"> dB). This preserves alignment with RAN1, ensures our innovation is fully covered, and allows RAN4 to apply margin-based thresholds where needed.</w:t>
      </w:r>
    </w:p>
    <w:p w14:paraId="366BB023" w14:textId="77777777" w:rsidR="00A50502" w:rsidRPr="00537A07" w:rsidRDefault="00A50502" w:rsidP="00A50502">
      <w:pPr>
        <w:pStyle w:val="a3"/>
        <w:spacing w:after="120" w:line="240" w:lineRule="auto"/>
        <w:rPr>
          <w:rFonts w:asciiTheme="majorHAnsi" w:hAnsiTheme="majorHAnsi" w:cstheme="majorHAnsi"/>
          <w:sz w:val="21"/>
          <w:szCs w:val="21"/>
          <w:u w:val="single"/>
        </w:rPr>
      </w:pPr>
      <w:r w:rsidRPr="00537A07">
        <w:rPr>
          <w:rFonts w:asciiTheme="majorHAnsi" w:hAnsiTheme="majorHAnsi" w:cstheme="majorHAnsi"/>
          <w:sz w:val="21"/>
          <w:szCs w:val="21"/>
          <w:u w:val="single"/>
        </w:rPr>
        <w:t xml:space="preserve">Value of </w:t>
      </w:r>
      <w:r>
        <w:rPr>
          <w:rFonts w:asciiTheme="majorHAnsi" w:hAnsiTheme="majorHAnsi" w:cstheme="majorHAnsi"/>
          <w:sz w:val="21"/>
          <w:szCs w:val="21"/>
          <w:u w:val="single"/>
        </w:rPr>
        <w:t>N</w:t>
      </w:r>
      <w:r w:rsidRPr="00537A07">
        <w:rPr>
          <w:rFonts w:asciiTheme="majorHAnsi" w:hAnsiTheme="majorHAnsi" w:cstheme="majorHAnsi"/>
          <w:sz w:val="21"/>
          <w:szCs w:val="21"/>
          <w:u w:val="single"/>
        </w:rPr>
        <w:t>:</w:t>
      </w:r>
    </w:p>
    <w:p w14:paraId="5C50FC44" w14:textId="77777777" w:rsidR="00A50502" w:rsidRDefault="00A50502" w:rsidP="00A50502">
      <w:pPr>
        <w:pStyle w:val="a3"/>
        <w:spacing w:after="120" w:line="240" w:lineRule="auto"/>
        <w:rPr>
          <w:rFonts w:asciiTheme="majorHAnsi" w:hAnsiTheme="majorHAnsi" w:cstheme="majorHAnsi"/>
        </w:rPr>
      </w:pPr>
      <w:r w:rsidRPr="003A47A1">
        <w:rPr>
          <w:rFonts w:asciiTheme="majorHAnsi" w:hAnsiTheme="majorHAnsi" w:cstheme="majorHAnsi"/>
        </w:rPr>
        <w:t>From our simulation results with agreed simulation assumption</w:t>
      </w:r>
      <w:r>
        <w:rPr>
          <w:rFonts w:asciiTheme="majorHAnsi" w:hAnsiTheme="majorHAnsi" w:cstheme="majorHAnsi"/>
        </w:rPr>
        <w:t>, we observe that:</w:t>
      </w:r>
    </w:p>
    <w:p w14:paraId="29EA9678" w14:textId="77777777" w:rsidR="00A50502" w:rsidRDefault="00A50502" w:rsidP="00420833">
      <w:pPr>
        <w:pStyle w:val="a3"/>
        <w:numPr>
          <w:ilvl w:val="0"/>
          <w:numId w:val="15"/>
        </w:numPr>
        <w:spacing w:after="120" w:line="240" w:lineRule="auto"/>
        <w:rPr>
          <w:rFonts w:asciiTheme="majorHAnsi" w:hAnsiTheme="majorHAnsi" w:cstheme="majorHAnsi"/>
          <w:sz w:val="21"/>
          <w:szCs w:val="21"/>
        </w:rPr>
      </w:pPr>
      <w:r>
        <w:rPr>
          <w:rFonts w:asciiTheme="majorHAnsi" w:hAnsiTheme="majorHAnsi" w:cstheme="majorHAnsi"/>
        </w:rPr>
        <w:t xml:space="preserve">When X = 0dB, </w:t>
      </w:r>
      <w:r>
        <w:rPr>
          <w:rFonts w:asciiTheme="majorHAnsi" w:hAnsiTheme="majorHAnsi" w:cstheme="majorHAnsi"/>
          <w:sz w:val="21"/>
          <w:szCs w:val="21"/>
        </w:rPr>
        <w:t xml:space="preserve">it will be equal to original option 2. Then N can be relaxed to be larger than 1. </w:t>
      </w:r>
      <w:r>
        <w:rPr>
          <w:rFonts w:asciiTheme="majorHAnsi" w:hAnsiTheme="majorHAnsi" w:cstheme="majorHAnsi"/>
        </w:rPr>
        <w:t>When</w:t>
      </w:r>
      <w:r w:rsidRPr="003A47A1">
        <w:rPr>
          <w:rFonts w:asciiTheme="majorHAnsi" w:hAnsiTheme="majorHAnsi" w:cstheme="majorHAnsi"/>
        </w:rPr>
        <w:t xml:space="preserve"> K is smaller than 4, we prefer that N=2. When K=4, </w:t>
      </w:r>
      <w:r>
        <w:rPr>
          <w:rFonts w:asciiTheme="majorHAnsi" w:hAnsiTheme="majorHAnsi" w:cstheme="majorHAnsi"/>
        </w:rPr>
        <w:t>N can be 1 or 2</w:t>
      </w:r>
      <w:r w:rsidRPr="003A47A1">
        <w:rPr>
          <w:rFonts w:asciiTheme="majorHAnsi" w:hAnsiTheme="majorHAnsi" w:cstheme="majorHAnsi"/>
        </w:rPr>
        <w:t>.</w:t>
      </w:r>
    </w:p>
    <w:p w14:paraId="279B444D" w14:textId="5446B4F5" w:rsidR="00A50502" w:rsidRDefault="00A50502" w:rsidP="00420833">
      <w:pPr>
        <w:pStyle w:val="a3"/>
        <w:numPr>
          <w:ilvl w:val="0"/>
          <w:numId w:val="15"/>
        </w:numPr>
        <w:spacing w:after="120" w:line="240" w:lineRule="auto"/>
        <w:rPr>
          <w:rFonts w:asciiTheme="majorHAnsi" w:hAnsiTheme="majorHAnsi" w:cstheme="majorHAnsi"/>
        </w:rPr>
      </w:pPr>
      <w:r>
        <w:rPr>
          <w:rFonts w:asciiTheme="majorHAnsi" w:hAnsiTheme="majorHAnsi" w:cstheme="majorHAnsi"/>
        </w:rPr>
        <w:t xml:space="preserve">When X </w:t>
      </w:r>
      <w:r w:rsidR="00BF246A">
        <w:rPr>
          <w:rFonts w:asciiTheme="majorHAnsi" w:hAnsiTheme="majorHAnsi" w:cstheme="majorHAnsi"/>
        </w:rPr>
        <w:t xml:space="preserve">is larger than 0 </w:t>
      </w:r>
      <w:r>
        <w:rPr>
          <w:rFonts w:asciiTheme="majorHAnsi" w:hAnsiTheme="majorHAnsi" w:cstheme="majorHAnsi"/>
        </w:rPr>
        <w:t>dB, N = 1.</w:t>
      </w:r>
    </w:p>
    <w:p w14:paraId="0A97F520" w14:textId="05816FED" w:rsidR="00A50502" w:rsidRDefault="00A50502" w:rsidP="00A50502">
      <w:pPr>
        <w:pStyle w:val="a3"/>
        <w:spacing w:after="120" w:line="240" w:lineRule="auto"/>
        <w:rPr>
          <w:rFonts w:asciiTheme="majorHAnsi" w:hAnsiTheme="majorHAnsi" w:cstheme="majorHAnsi"/>
          <w:b/>
          <w:bCs/>
        </w:rPr>
      </w:pPr>
      <w:r w:rsidRPr="003A47A1">
        <w:rPr>
          <w:rFonts w:asciiTheme="majorHAnsi" w:hAnsiTheme="majorHAnsi" w:cstheme="majorHAnsi"/>
          <w:b/>
          <w:bCs/>
        </w:rPr>
        <w:t>Proposal</w:t>
      </w:r>
      <w:r>
        <w:rPr>
          <w:rFonts w:asciiTheme="majorHAnsi" w:hAnsiTheme="majorHAnsi" w:cstheme="majorHAnsi"/>
          <w:b/>
          <w:bCs/>
        </w:rPr>
        <w:t xml:space="preserve"> 1</w:t>
      </w:r>
      <w:r w:rsidRPr="003A47A1">
        <w:rPr>
          <w:rFonts w:asciiTheme="majorHAnsi" w:hAnsiTheme="majorHAnsi" w:cstheme="majorHAnsi"/>
          <w:b/>
          <w:bCs/>
        </w:rPr>
        <w:t xml:space="preserve">: </w:t>
      </w:r>
      <w:r>
        <w:rPr>
          <w:rFonts w:asciiTheme="majorHAnsi" w:hAnsiTheme="majorHAnsi" w:cstheme="majorHAnsi"/>
          <w:b/>
          <w:bCs/>
        </w:rPr>
        <w:t xml:space="preserve">In order to align with RAN1, Beam index prediction definition should </w:t>
      </w:r>
      <w:r w:rsidR="0062196E">
        <w:rPr>
          <w:rFonts w:asciiTheme="majorHAnsi" w:hAnsiTheme="majorHAnsi" w:cstheme="majorHAnsi"/>
          <w:b/>
          <w:bCs/>
        </w:rPr>
        <w:t>at least include</w:t>
      </w:r>
      <w:r>
        <w:rPr>
          <w:rFonts w:asciiTheme="majorHAnsi" w:hAnsiTheme="majorHAnsi" w:cstheme="majorHAnsi"/>
          <w:b/>
          <w:bCs/>
        </w:rPr>
        <w:t xml:space="preserve"> original option 2:</w:t>
      </w:r>
    </w:p>
    <w:p w14:paraId="53AA4BCF" w14:textId="77777777" w:rsidR="00A50502" w:rsidRDefault="00A50502" w:rsidP="00420833">
      <w:pPr>
        <w:pStyle w:val="a3"/>
        <w:numPr>
          <w:ilvl w:val="0"/>
          <w:numId w:val="14"/>
        </w:numPr>
        <w:spacing w:after="120" w:line="240" w:lineRule="auto"/>
        <w:rPr>
          <w:rFonts w:asciiTheme="majorHAnsi" w:hAnsiTheme="majorHAnsi" w:cstheme="majorHAnsi"/>
          <w:b/>
          <w:bCs/>
        </w:rPr>
      </w:pPr>
      <w:r w:rsidRPr="00537A07">
        <w:rPr>
          <w:rFonts w:asciiTheme="majorHAnsi" w:hAnsiTheme="majorHAnsi" w:cstheme="majorHAnsi"/>
          <w:b/>
          <w:bCs/>
        </w:rPr>
        <w:t xml:space="preserve">For N value: </w:t>
      </w:r>
    </w:p>
    <w:p w14:paraId="472B24C9" w14:textId="74EBB1C7" w:rsidR="00A50502" w:rsidRDefault="00A50502" w:rsidP="00420833">
      <w:pPr>
        <w:pStyle w:val="a3"/>
        <w:numPr>
          <w:ilvl w:val="1"/>
          <w:numId w:val="14"/>
        </w:numPr>
        <w:spacing w:after="120" w:line="240" w:lineRule="auto"/>
        <w:rPr>
          <w:rFonts w:asciiTheme="majorHAnsi" w:hAnsiTheme="majorHAnsi" w:cstheme="majorHAnsi"/>
          <w:b/>
          <w:bCs/>
        </w:rPr>
      </w:pPr>
      <w:r>
        <w:rPr>
          <w:rFonts w:asciiTheme="majorHAnsi" w:hAnsiTheme="majorHAnsi" w:cstheme="majorHAnsi"/>
          <w:b/>
          <w:bCs/>
        </w:rPr>
        <w:t xml:space="preserve">When X </w:t>
      </w:r>
      <w:r w:rsidR="00BF246A">
        <w:rPr>
          <w:rFonts w:asciiTheme="majorHAnsi" w:hAnsiTheme="majorHAnsi" w:cstheme="majorHAnsi"/>
          <w:b/>
          <w:bCs/>
        </w:rPr>
        <w:t>is larger than 0</w:t>
      </w:r>
      <w:r>
        <w:rPr>
          <w:rFonts w:asciiTheme="majorHAnsi" w:hAnsiTheme="majorHAnsi" w:cstheme="majorHAnsi"/>
          <w:b/>
          <w:bCs/>
        </w:rPr>
        <w:t xml:space="preserve"> dB, N = 1.</w:t>
      </w:r>
    </w:p>
    <w:p w14:paraId="5D2F02AB" w14:textId="77777777" w:rsidR="00A50502" w:rsidRPr="006A33BE" w:rsidRDefault="00A50502" w:rsidP="00420833">
      <w:pPr>
        <w:pStyle w:val="a3"/>
        <w:numPr>
          <w:ilvl w:val="1"/>
          <w:numId w:val="14"/>
        </w:numPr>
        <w:spacing w:after="120" w:line="240" w:lineRule="auto"/>
        <w:rPr>
          <w:rFonts w:asciiTheme="majorHAnsi" w:hAnsiTheme="majorHAnsi" w:cstheme="majorHAnsi"/>
          <w:b/>
          <w:bCs/>
        </w:rPr>
      </w:pPr>
      <w:r w:rsidRPr="006A33BE">
        <w:rPr>
          <w:rFonts w:asciiTheme="majorHAnsi" w:hAnsiTheme="majorHAnsi" w:cstheme="majorHAnsi"/>
          <w:b/>
          <w:bCs/>
        </w:rPr>
        <w:t>When X = 0dB, N = 1 or 2</w:t>
      </w:r>
      <w:r>
        <w:rPr>
          <w:rFonts w:asciiTheme="majorHAnsi" w:hAnsiTheme="majorHAnsi" w:cstheme="majorHAnsi"/>
          <w:b/>
          <w:bCs/>
        </w:rPr>
        <w:t xml:space="preserve"> depending on K value.</w:t>
      </w:r>
    </w:p>
    <w:p w14:paraId="6F86372E" w14:textId="77777777" w:rsidR="00A50502" w:rsidRPr="003A47A1" w:rsidRDefault="00A50502" w:rsidP="00A50502">
      <w:pPr>
        <w:pStyle w:val="3"/>
        <w:spacing w:before="240" w:after="120"/>
        <w:rPr>
          <w:rFonts w:asciiTheme="majorHAnsi" w:hAnsiTheme="majorHAnsi" w:cstheme="majorHAnsi"/>
          <w:sz w:val="24"/>
          <w:szCs w:val="24"/>
        </w:rPr>
      </w:pPr>
      <w:r w:rsidRPr="003A47A1">
        <w:rPr>
          <w:rFonts w:asciiTheme="majorHAnsi" w:hAnsiTheme="majorHAnsi" w:cstheme="majorHAnsi"/>
          <w:sz w:val="24"/>
          <w:szCs w:val="24"/>
        </w:rPr>
        <w:t>2.1.2 RSRP absolute accuracy</w:t>
      </w:r>
    </w:p>
    <w:p w14:paraId="0AFFD07B" w14:textId="38123CF1"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 xml:space="preserve">In </w:t>
      </w:r>
      <w:r w:rsidR="0062196E">
        <w:rPr>
          <w:rFonts w:asciiTheme="majorHAnsi" w:hAnsiTheme="majorHAnsi" w:cstheme="majorHAnsi"/>
        </w:rPr>
        <w:t>RAN4#114bis</w:t>
      </w:r>
      <w:r w:rsidRPr="003A47A1">
        <w:rPr>
          <w:rFonts w:asciiTheme="majorHAnsi" w:hAnsiTheme="majorHAnsi" w:cstheme="majorHAnsi"/>
        </w:rPr>
        <w:t xml:space="preserve"> meeting, it’s agreed that absolute RSRP accuracy will applied for Top-1 predicted beams and it’s FFS whether can be apply for other beams. </w:t>
      </w:r>
    </w:p>
    <w:tbl>
      <w:tblPr>
        <w:tblStyle w:val="ad"/>
        <w:tblW w:w="0" w:type="auto"/>
        <w:tblLook w:val="04A0" w:firstRow="1" w:lastRow="0" w:firstColumn="1" w:lastColumn="0" w:noHBand="0" w:noVBand="1"/>
      </w:tblPr>
      <w:tblGrid>
        <w:gridCol w:w="9628"/>
      </w:tblGrid>
      <w:tr w:rsidR="00A50502" w:rsidRPr="003A47A1" w14:paraId="54111947" w14:textId="77777777" w:rsidTr="007E215B">
        <w:tc>
          <w:tcPr>
            <w:tcW w:w="9628" w:type="dxa"/>
          </w:tcPr>
          <w:p w14:paraId="12EDC066" w14:textId="77777777" w:rsidR="00A50502" w:rsidRPr="003A47A1" w:rsidRDefault="00A50502" w:rsidP="007E215B">
            <w:pPr>
              <w:spacing w:after="120"/>
              <w:rPr>
                <w:rFonts w:asciiTheme="majorHAnsi" w:hAnsiTheme="majorHAnsi"/>
                <w:b/>
                <w:u w:val="single"/>
                <w:lang w:eastAsia="ko-KR"/>
              </w:rPr>
            </w:pPr>
            <w:r w:rsidRPr="003A47A1">
              <w:rPr>
                <w:rFonts w:asciiTheme="majorHAnsi" w:hAnsiTheme="majorHAnsi"/>
                <w:b/>
                <w:u w:val="single"/>
                <w:lang w:eastAsia="ko-KR"/>
              </w:rPr>
              <w:t xml:space="preserve">Issue 2-2: </w:t>
            </w:r>
            <w:r w:rsidRPr="003A47A1">
              <w:rPr>
                <w:rFonts w:asciiTheme="majorHAnsi" w:eastAsia="Yu Mincho" w:hAnsiTheme="majorHAnsi"/>
                <w:b/>
                <w:u w:val="single"/>
                <w:lang w:eastAsia="ja-JP"/>
              </w:rPr>
              <w:t>Absolute RSRP accuracy</w:t>
            </w:r>
            <w:r w:rsidRPr="003A47A1">
              <w:rPr>
                <w:rFonts w:asciiTheme="majorHAnsi" w:hAnsiTheme="majorHAnsi"/>
                <w:b/>
                <w:u w:val="single"/>
                <w:lang w:eastAsia="ko-KR"/>
              </w:rPr>
              <w:t xml:space="preserve"> </w:t>
            </w:r>
          </w:p>
          <w:p w14:paraId="45FAC7FF" w14:textId="77777777" w:rsidR="00A50502" w:rsidRPr="003A47A1" w:rsidRDefault="00A50502" w:rsidP="007E215B">
            <w:pPr>
              <w:spacing w:after="120"/>
              <w:rPr>
                <w:rFonts w:asciiTheme="majorHAnsi" w:hAnsiTheme="majorHAnsi"/>
                <w:iCs/>
              </w:rPr>
            </w:pPr>
            <w:r w:rsidRPr="003A47A1">
              <w:rPr>
                <w:rFonts w:asciiTheme="majorHAnsi" w:hAnsiTheme="majorHAnsi"/>
                <w:iCs/>
              </w:rPr>
              <w:t>Agreement:</w:t>
            </w:r>
          </w:p>
          <w:p w14:paraId="40D74B4B" w14:textId="77777777" w:rsidR="00A50502" w:rsidRPr="003A47A1" w:rsidRDefault="00A50502" w:rsidP="00420833">
            <w:pPr>
              <w:pStyle w:val="ab"/>
              <w:numPr>
                <w:ilvl w:val="0"/>
                <w:numId w:val="6"/>
              </w:numPr>
              <w:overflowPunct w:val="0"/>
              <w:autoSpaceDE w:val="0"/>
              <w:autoSpaceDN w:val="0"/>
              <w:adjustRightInd w:val="0"/>
              <w:spacing w:after="120"/>
              <w:ind w:firstLineChars="0"/>
              <w:textAlignment w:val="baseline"/>
              <w:rPr>
                <w:rFonts w:asciiTheme="majorHAnsi" w:hAnsiTheme="majorHAnsi"/>
                <w:iCs/>
              </w:rPr>
            </w:pPr>
            <w:r w:rsidRPr="003A47A1">
              <w:rPr>
                <w:rFonts w:asciiTheme="majorHAnsi" w:eastAsia="Yu Mincho" w:hAnsiTheme="majorHAnsi"/>
                <w:szCs w:val="24"/>
                <w:lang w:eastAsia="ja-JP"/>
              </w:rPr>
              <w:t>Absolute RSRP accuracy requirement applies to Top-1 of predicted beams at least</w:t>
            </w:r>
          </w:p>
          <w:p w14:paraId="1E7044EE" w14:textId="77777777" w:rsidR="00A50502" w:rsidRPr="003A47A1" w:rsidRDefault="00A50502" w:rsidP="00420833">
            <w:pPr>
              <w:pStyle w:val="ab"/>
              <w:numPr>
                <w:ilvl w:val="1"/>
                <w:numId w:val="6"/>
              </w:numPr>
              <w:overflowPunct w:val="0"/>
              <w:autoSpaceDE w:val="0"/>
              <w:autoSpaceDN w:val="0"/>
              <w:adjustRightInd w:val="0"/>
              <w:spacing w:after="120"/>
              <w:ind w:firstLineChars="0"/>
              <w:textAlignment w:val="baseline"/>
              <w:rPr>
                <w:rFonts w:asciiTheme="majorHAnsi" w:hAnsiTheme="majorHAnsi"/>
                <w:iCs/>
                <w:sz w:val="24"/>
                <w:szCs w:val="24"/>
              </w:rPr>
            </w:pPr>
            <w:r w:rsidRPr="003A47A1">
              <w:rPr>
                <w:rFonts w:asciiTheme="majorHAnsi" w:eastAsia="Yu Mincho" w:hAnsiTheme="majorHAnsi"/>
                <w:szCs w:val="24"/>
                <w:lang w:eastAsia="ja-JP"/>
              </w:rPr>
              <w:t>FFS whether to apply to other beams</w:t>
            </w:r>
          </w:p>
        </w:tc>
      </w:tr>
    </w:tbl>
    <w:p w14:paraId="2F03A930"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From RAN1 agreements in RAN1#120:</w:t>
      </w:r>
    </w:p>
    <w:tbl>
      <w:tblPr>
        <w:tblStyle w:val="ad"/>
        <w:tblW w:w="0" w:type="auto"/>
        <w:tblLook w:val="04A0" w:firstRow="1" w:lastRow="0" w:firstColumn="1" w:lastColumn="0" w:noHBand="0" w:noVBand="1"/>
      </w:tblPr>
      <w:tblGrid>
        <w:gridCol w:w="9628"/>
      </w:tblGrid>
      <w:tr w:rsidR="00A50502" w:rsidRPr="003A47A1" w14:paraId="129B6D07" w14:textId="77777777" w:rsidTr="007E215B">
        <w:tc>
          <w:tcPr>
            <w:tcW w:w="9628" w:type="dxa"/>
          </w:tcPr>
          <w:p w14:paraId="3A7E5B99" w14:textId="77777777" w:rsidR="00A50502" w:rsidRPr="003A47A1" w:rsidRDefault="00A50502" w:rsidP="007E215B">
            <w:pPr>
              <w:spacing w:after="120"/>
              <w:rPr>
                <w:rFonts w:asciiTheme="majorHAnsi" w:eastAsia="等线" w:hAnsiTheme="majorHAnsi"/>
                <w:highlight w:val="green"/>
              </w:rPr>
            </w:pPr>
            <w:r w:rsidRPr="003A47A1">
              <w:rPr>
                <w:rFonts w:asciiTheme="majorHAnsi" w:eastAsia="等线" w:hAnsiTheme="majorHAnsi"/>
                <w:highlight w:val="green"/>
              </w:rPr>
              <w:t>Agreement</w:t>
            </w:r>
          </w:p>
          <w:p w14:paraId="1C8CC929" w14:textId="77777777" w:rsidR="00A50502" w:rsidRPr="003A47A1" w:rsidRDefault="00A50502" w:rsidP="007E215B">
            <w:pPr>
              <w:spacing w:after="120"/>
              <w:rPr>
                <w:rFonts w:asciiTheme="majorHAnsi" w:hAnsiTheme="majorHAnsi"/>
              </w:rPr>
            </w:pPr>
            <w:r w:rsidRPr="003A47A1">
              <w:rPr>
                <w:rFonts w:asciiTheme="majorHAnsi" w:eastAsia="等线" w:hAnsiTheme="majorHAnsi"/>
              </w:rPr>
              <w:t>F</w:t>
            </w:r>
            <w:r w:rsidRPr="003A47A1">
              <w:rPr>
                <w:rFonts w:asciiTheme="majorHAnsi" w:eastAsia="Times New Roman" w:hAnsiTheme="majorHAnsi"/>
              </w:rPr>
              <w:t xml:space="preserve">or report content of inference results for UE-sided model, </w:t>
            </w:r>
            <w:r w:rsidRPr="003A47A1">
              <w:rPr>
                <w:rFonts w:asciiTheme="majorHAnsi" w:hAnsiTheme="majorHAnsi"/>
              </w:rPr>
              <w:t>where the largest RSRP value is quantized to a 7-bit value in the range [-140, -44] dBm with 1dB step size, and the differential RSRP is quantized to a 4-bit value with 2 dB step size.</w:t>
            </w:r>
          </w:p>
          <w:p w14:paraId="600DF5CC" w14:textId="77777777" w:rsidR="00A50502" w:rsidRPr="003A47A1" w:rsidRDefault="00A50502" w:rsidP="007E215B">
            <w:pPr>
              <w:pStyle w:val="a6"/>
              <w:spacing w:after="120"/>
              <w:ind w:firstLine="480"/>
              <w:jc w:val="both"/>
              <w:rPr>
                <w:rFonts w:asciiTheme="majorHAnsi" w:hAnsiTheme="majorHAnsi" w:cstheme="majorHAnsi"/>
                <w:b w:val="0"/>
                <w:bCs w:val="0"/>
                <w:lang w:eastAsia="zh-CN"/>
              </w:rPr>
            </w:pPr>
            <w:r w:rsidRPr="003A47A1">
              <w:rPr>
                <w:rFonts w:asciiTheme="majorHAnsi" w:hAnsiTheme="majorHAnsi" w:cstheme="majorHAnsi"/>
                <w:b w:val="0"/>
                <w:lang w:eastAsia="zh-CN"/>
              </w:rPr>
              <w:t xml:space="preserve">Note: the model output is UE implementation and it doesn’t have to be RSRP subject to dBm value. </w:t>
            </w:r>
          </w:p>
        </w:tc>
      </w:tr>
    </w:tbl>
    <w:p w14:paraId="6FB257D1"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p>
    <w:p w14:paraId="27DFE88F"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 xml:space="preserve">The reporting scheme is the same as legacy non-AI based beam reporting. </w:t>
      </w:r>
    </w:p>
    <w:p w14:paraId="53E984B3" w14:textId="77777777" w:rsidR="00A50502" w:rsidRPr="003A47A1" w:rsidRDefault="00A50502" w:rsidP="00A50502">
      <w:pPr>
        <w:pStyle w:val="a3"/>
        <w:spacing w:after="120"/>
        <w:rPr>
          <w:rFonts w:asciiTheme="majorHAnsi" w:hAnsiTheme="majorHAnsi" w:cstheme="majorHAnsi"/>
          <w:iCs/>
          <w:sz w:val="21"/>
          <w:szCs w:val="21"/>
        </w:rPr>
      </w:pPr>
      <w:r w:rsidRPr="003A47A1">
        <w:rPr>
          <w:rFonts w:asciiTheme="majorHAnsi" w:hAnsiTheme="majorHAnsi" w:cstheme="majorHAnsi"/>
          <w:iCs/>
          <w:sz w:val="21"/>
          <w:szCs w:val="21"/>
        </w:rPr>
        <w:t>For K &gt; 1 beams:</w:t>
      </w:r>
    </w:p>
    <w:p w14:paraId="40949D32" w14:textId="77777777" w:rsidR="00A50502" w:rsidRPr="003A47A1" w:rsidRDefault="00A50502" w:rsidP="00420833">
      <w:pPr>
        <w:pStyle w:val="a3"/>
        <w:numPr>
          <w:ilvl w:val="0"/>
          <w:numId w:val="5"/>
        </w:numPr>
        <w:spacing w:after="120"/>
        <w:rPr>
          <w:rFonts w:asciiTheme="majorHAnsi" w:hAnsiTheme="majorHAnsi" w:cstheme="majorHAnsi"/>
          <w:iCs/>
          <w:sz w:val="21"/>
          <w:szCs w:val="21"/>
        </w:rPr>
      </w:pPr>
      <w:r w:rsidRPr="003A47A1">
        <w:rPr>
          <w:rFonts w:asciiTheme="majorHAnsi" w:hAnsiTheme="majorHAnsi" w:cstheme="majorHAnsi"/>
          <w:iCs/>
          <w:sz w:val="21"/>
          <w:szCs w:val="21"/>
        </w:rPr>
        <w:t>1st-ranked beam: Reported as absolute quantized RSRP</w:t>
      </w:r>
    </w:p>
    <w:p w14:paraId="205F5CA9" w14:textId="77777777" w:rsidR="00A50502" w:rsidRPr="003A47A1" w:rsidRDefault="00A50502" w:rsidP="00420833">
      <w:pPr>
        <w:pStyle w:val="a3"/>
        <w:numPr>
          <w:ilvl w:val="0"/>
          <w:numId w:val="5"/>
        </w:numPr>
        <w:spacing w:after="120"/>
        <w:rPr>
          <w:rFonts w:asciiTheme="majorHAnsi" w:hAnsiTheme="majorHAnsi" w:cstheme="majorHAnsi"/>
          <w:iCs/>
          <w:sz w:val="21"/>
          <w:szCs w:val="21"/>
        </w:rPr>
      </w:pPr>
      <w:r w:rsidRPr="003A47A1">
        <w:rPr>
          <w:rFonts w:asciiTheme="majorHAnsi" w:hAnsiTheme="majorHAnsi" w:cstheme="majorHAnsi"/>
          <w:iCs/>
          <w:sz w:val="21"/>
          <w:szCs w:val="21"/>
        </w:rPr>
        <w:lastRenderedPageBreak/>
        <w:t>2nd-Kth beams: Reported as differential RSRP (4-bit resolution, 2dB step size) relative to the 1st-ranked beam</w:t>
      </w:r>
    </w:p>
    <w:p w14:paraId="05727C8A"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In legacy, absolute RSRP is defined for the largest RSRP and relative accuracy is defined for other differential RSRP in the report.</w:t>
      </w:r>
    </w:p>
    <w:p w14:paraId="14207601" w14:textId="77777777" w:rsidR="00A50502" w:rsidRPr="003A47A1" w:rsidRDefault="00A50502" w:rsidP="00A50502">
      <w:pPr>
        <w:pStyle w:val="a3"/>
        <w:spacing w:beforeLines="50" w:before="120" w:after="120" w:line="240" w:lineRule="auto"/>
        <w:rPr>
          <w:rFonts w:asciiTheme="majorHAnsi" w:hAnsiTheme="majorHAnsi" w:cstheme="majorHAnsi"/>
          <w:b/>
          <w:bCs/>
          <w:iCs/>
          <w:sz w:val="21"/>
          <w:szCs w:val="21"/>
        </w:rPr>
      </w:pPr>
      <w:r w:rsidRPr="003A47A1">
        <w:rPr>
          <w:rFonts w:asciiTheme="majorHAnsi" w:hAnsiTheme="majorHAnsi" w:cstheme="majorHAnsi"/>
          <w:b/>
          <w:bCs/>
          <w:iCs/>
          <w:sz w:val="21"/>
          <w:szCs w:val="21"/>
        </w:rPr>
        <w:t>Observation</w:t>
      </w:r>
      <w:r>
        <w:rPr>
          <w:rFonts w:asciiTheme="majorHAnsi" w:hAnsiTheme="majorHAnsi" w:cstheme="majorHAnsi"/>
          <w:b/>
          <w:bCs/>
          <w:iCs/>
          <w:sz w:val="21"/>
          <w:szCs w:val="21"/>
        </w:rPr>
        <w:t xml:space="preserve"> </w:t>
      </w:r>
      <w:r w:rsidR="009914A4">
        <w:rPr>
          <w:rFonts w:asciiTheme="majorHAnsi" w:hAnsiTheme="majorHAnsi" w:cstheme="majorHAnsi"/>
          <w:b/>
          <w:bCs/>
          <w:iCs/>
          <w:sz w:val="21"/>
          <w:szCs w:val="21"/>
        </w:rPr>
        <w:t>2</w:t>
      </w:r>
      <w:r w:rsidRPr="003A47A1">
        <w:rPr>
          <w:rFonts w:asciiTheme="majorHAnsi" w:hAnsiTheme="majorHAnsi" w:cstheme="majorHAnsi"/>
          <w:b/>
          <w:bCs/>
          <w:iCs/>
          <w:sz w:val="21"/>
          <w:szCs w:val="21"/>
        </w:rPr>
        <w:t>: In legacy, absolute RSRP is only defined for the largest RSRP and relative accuracy is defined for other differential RSRP in the report.</w:t>
      </w:r>
    </w:p>
    <w:p w14:paraId="3C5BBCDC" w14:textId="77777777" w:rsidR="00A50502" w:rsidRPr="003A47A1" w:rsidRDefault="00A50502" w:rsidP="00A50502">
      <w:pPr>
        <w:spacing w:after="120"/>
        <w:rPr>
          <w:rFonts w:asciiTheme="majorHAnsi" w:hAnsiTheme="majorHAnsi"/>
          <w:u w:val="single"/>
        </w:rPr>
      </w:pPr>
      <w:r w:rsidRPr="003A47A1">
        <w:rPr>
          <w:rFonts w:asciiTheme="majorHAnsi" w:hAnsiTheme="majorHAnsi"/>
          <w:u w:val="single"/>
        </w:rPr>
        <w:t>Challenges for Non-Top-1 Beams</w:t>
      </w:r>
    </w:p>
    <w:p w14:paraId="26691C1D" w14:textId="77777777" w:rsidR="00A50502" w:rsidRPr="003A47A1" w:rsidRDefault="00A50502" w:rsidP="00A50502">
      <w:pPr>
        <w:spacing w:after="120"/>
        <w:rPr>
          <w:rFonts w:asciiTheme="majorHAnsi" w:hAnsiTheme="majorHAnsi"/>
        </w:rPr>
      </w:pPr>
      <w:r w:rsidRPr="003A47A1">
        <w:rPr>
          <w:rFonts w:asciiTheme="majorHAnsi" w:hAnsiTheme="majorHAnsi"/>
        </w:rPr>
        <w:t>Extending absolute accuracy to non-top-1 beams requires reconstructing their RSRP from differential values, introducing two critical issues:</w:t>
      </w:r>
    </w:p>
    <w:p w14:paraId="2968565C" w14:textId="77777777" w:rsidR="00A50502" w:rsidRPr="00F80175" w:rsidRDefault="00A50502" w:rsidP="00A50502">
      <w:pPr>
        <w:spacing w:after="120"/>
        <w:rPr>
          <w:rFonts w:asciiTheme="majorHAnsi" w:hAnsiTheme="majorHAnsi"/>
        </w:rPr>
      </w:pPr>
      <w:r w:rsidRPr="00F80175">
        <w:rPr>
          <w:rFonts w:asciiTheme="majorHAnsi" w:hAnsiTheme="majorHAnsi"/>
        </w:rPr>
        <w:t>1. Cumulative Quantization Errors:</w:t>
      </w:r>
    </w:p>
    <w:p w14:paraId="22C5C863"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xml:space="preserve">UE reports predicted RSRP for Top-K beams with format: {A₁, </w:t>
      </w:r>
      <w:r w:rsidRPr="007A1775">
        <w:rPr>
          <w:rFonts w:asciiTheme="majorHAnsi" w:eastAsia="等线" w:hAnsiTheme="majorHAnsi"/>
          <w:szCs w:val="20"/>
        </w:rPr>
        <w:t>Δ</w:t>
      </w:r>
      <w:r w:rsidRPr="007A1775">
        <w:rPr>
          <w:rFonts w:asciiTheme="majorHAnsi" w:hAnsiTheme="majorHAnsi"/>
          <w:szCs w:val="20"/>
        </w:rPr>
        <w:t xml:space="preserve">B₁, </w:t>
      </w:r>
      <w:r w:rsidRPr="007A1775">
        <w:rPr>
          <w:rFonts w:asciiTheme="majorHAnsi" w:eastAsia="等线" w:hAnsiTheme="majorHAnsi"/>
          <w:szCs w:val="20"/>
        </w:rPr>
        <w:t>Δ</w:t>
      </w:r>
      <w:r w:rsidRPr="007A1775">
        <w:rPr>
          <w:rFonts w:asciiTheme="majorHAnsi" w:hAnsiTheme="majorHAnsi"/>
          <w:szCs w:val="20"/>
        </w:rPr>
        <w:t>C₁}</w:t>
      </w:r>
    </w:p>
    <w:p w14:paraId="18A543F3"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Beam A (predicted 1st): Absolute RSRP</w:t>
      </w:r>
    </w:p>
    <w:p w14:paraId="172C8DC8"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Beams B/C: Differential RSRP (ΔB₁/</w:t>
      </w:r>
      <w:r w:rsidRPr="007A1775">
        <w:rPr>
          <w:rFonts w:asciiTheme="majorHAnsi" w:eastAsia="等线" w:hAnsiTheme="majorHAnsi"/>
          <w:szCs w:val="20"/>
        </w:rPr>
        <w:t>Δ</w:t>
      </w:r>
      <w:r w:rsidRPr="007A1775">
        <w:rPr>
          <w:rFonts w:asciiTheme="majorHAnsi" w:hAnsiTheme="majorHAnsi"/>
          <w:szCs w:val="20"/>
        </w:rPr>
        <w:t>C₁)</w:t>
      </w:r>
    </w:p>
    <w:p w14:paraId="2347F698" w14:textId="77777777" w:rsidR="00A50502" w:rsidRPr="007A1775" w:rsidRDefault="00A50502" w:rsidP="00A50502">
      <w:pPr>
        <w:spacing w:afterLines="100" w:after="240"/>
        <w:rPr>
          <w:rFonts w:asciiTheme="majorHAnsi" w:hAnsiTheme="majorHAnsi"/>
          <w:szCs w:val="20"/>
        </w:rPr>
      </w:pPr>
      <w:r w:rsidRPr="007A1775">
        <w:rPr>
          <w:rFonts w:asciiTheme="majorHAnsi" w:hAnsiTheme="majorHAnsi"/>
          <w:szCs w:val="20"/>
        </w:rPr>
        <w:t>The reconstructed absolute RSRP for 2nd-Kth beams contains quantization uncertainty:</w:t>
      </w:r>
    </w:p>
    <w:p w14:paraId="1ACBDCE5" w14:textId="77777777" w:rsidR="00A50502" w:rsidRPr="007A1775" w:rsidRDefault="001B0FBD" w:rsidP="00A50502">
      <w:pPr>
        <w:spacing w:after="120"/>
        <w:rPr>
          <w:rFonts w:asciiTheme="majorHAnsi" w:hAnsiTheme="majorHAnsi"/>
          <w:szCs w:val="20"/>
        </w:rPr>
      </w:pPr>
      <m:oMathPara>
        <m:oMath>
          <m:sSubSup>
            <m:sSubSupPr>
              <m:ctrlPr>
                <w:rPr>
                  <w:rFonts w:ascii="Cambria Math" w:hAnsi="Cambria Math"/>
                  <w:i/>
                  <w:szCs w:val="20"/>
                </w:rPr>
              </m:ctrlPr>
            </m:sSubSupPr>
            <m:e>
              <m:acc>
                <m:accPr>
                  <m:ctrlPr>
                    <w:rPr>
                      <w:rFonts w:ascii="Cambria Math" w:hAnsi="Cambria Math"/>
                      <w:i/>
                      <w:iCs/>
                      <w:szCs w:val="20"/>
                    </w:rPr>
                  </m:ctrlPr>
                </m:accPr>
                <m:e>
                  <m:r>
                    <w:rPr>
                      <w:rFonts w:ascii="Cambria Math" w:hAnsi="Cambria Math"/>
                      <w:szCs w:val="20"/>
                    </w:rPr>
                    <m:t>R</m:t>
                  </m:r>
                </m:e>
              </m:acc>
            </m:e>
            <m:sub>
              <m:r>
                <w:rPr>
                  <w:rFonts w:ascii="Cambria Math" w:hAnsi="Cambria Math"/>
                  <w:szCs w:val="20"/>
                </w:rPr>
                <m:t>k</m:t>
              </m:r>
            </m:sub>
            <m:sup>
              <m:r>
                <w:rPr>
                  <w:rFonts w:ascii="Cambria Math" w:hAnsi="Cambria Math"/>
                  <w:szCs w:val="20"/>
                </w:rPr>
                <m:t>pred</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A</m:t>
              </m:r>
            </m:sub>
            <m:sup>
              <m:r>
                <w:rPr>
                  <w:rFonts w:ascii="Cambria Math" w:hAnsi="Cambria Math"/>
                  <w:szCs w:val="20"/>
                </w:rPr>
                <m:t>pred</m:t>
              </m:r>
            </m:sup>
          </m:sSubSup>
          <m:r>
            <m:rPr>
              <m:sty m:val="p"/>
            </m:rPr>
            <w:rPr>
              <w:rFonts w:ascii="Cambria Math" w:hAnsi="Cambria Math"/>
              <w:szCs w:val="20"/>
            </w:rPr>
            <m:t>-Δ</m:t>
          </m:r>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k</m:t>
              </m:r>
            </m:sub>
            <m:sup>
              <m:r>
                <w:rPr>
                  <w:rFonts w:ascii="Cambria Math" w:hAnsi="Cambria Math"/>
                  <w:szCs w:val="20"/>
                </w:rPr>
                <m:t>pred</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Δ</m:t>
              </m:r>
            </m:e>
            <m:sub>
              <m:r>
                <w:rPr>
                  <w:rFonts w:ascii="Cambria Math" w:hAnsi="Cambria Math"/>
                  <w:szCs w:val="20"/>
                </w:rPr>
                <m:t>quant</m:t>
              </m:r>
            </m:sub>
            <m:sup>
              <m:r>
                <w:rPr>
                  <w:rFonts w:ascii="Cambria Math" w:hAnsi="Cambria Math"/>
                  <w:szCs w:val="20"/>
                </w:rPr>
                <m:t>diff</m:t>
              </m:r>
            </m:sup>
          </m:sSubSup>
        </m:oMath>
      </m:oMathPara>
    </w:p>
    <w:p w14:paraId="19E5EF19" w14:textId="77777777" w:rsidR="00A50502" w:rsidRPr="007A1775" w:rsidRDefault="00A50502" w:rsidP="00A50502">
      <w:pPr>
        <w:spacing w:beforeLines="50" w:before="120" w:after="120"/>
        <w:rPr>
          <w:rFonts w:asciiTheme="majorHAnsi" w:hAnsiTheme="majorHAnsi"/>
          <w:szCs w:val="20"/>
        </w:rPr>
      </w:pPr>
      <w:r w:rsidRPr="007A1775">
        <w:rPr>
          <w:rFonts w:asciiTheme="majorHAnsi" w:hAnsiTheme="majorHAnsi"/>
          <w:szCs w:val="20"/>
        </w:rPr>
        <w:t xml:space="preserve">where </w:t>
      </w:r>
      <m:oMath>
        <m:sSubSup>
          <m:sSubSupPr>
            <m:ctrlPr>
              <w:rPr>
                <w:rFonts w:ascii="Cambria Math" w:hAnsi="Cambria Math"/>
                <w:szCs w:val="20"/>
              </w:rPr>
            </m:ctrlPr>
          </m:sSubSupPr>
          <m:e>
            <m:r>
              <m:rPr>
                <m:sty m:val="p"/>
              </m:rPr>
              <w:rPr>
                <w:rFonts w:ascii="Cambria Math" w:hAnsi="Cambria Math"/>
                <w:szCs w:val="20"/>
              </w:rPr>
              <m:t>Δ</m:t>
            </m:r>
          </m:e>
          <m:sub>
            <m:r>
              <w:rPr>
                <w:rFonts w:ascii="Cambria Math" w:hAnsi="Cambria Math"/>
                <w:szCs w:val="20"/>
              </w:rPr>
              <m:t>quant</m:t>
            </m:r>
          </m:sub>
          <m:sup>
            <m:r>
              <w:rPr>
                <w:rFonts w:ascii="Cambria Math" w:hAnsi="Cambria Math"/>
                <w:szCs w:val="20"/>
              </w:rPr>
              <m:t>diff</m:t>
            </m:r>
          </m:sup>
        </m:sSubSup>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2</m:t>
            </m:r>
          </m:den>
        </m:f>
        <m:r>
          <m:rPr>
            <m:sty m:val="p"/>
          </m:rPr>
          <w:rPr>
            <w:rFonts w:ascii="Cambria Math" w:hAnsi="Cambria Math"/>
            <w:szCs w:val="20"/>
          </w:rPr>
          <m:t>×</m:t>
        </m:r>
      </m:oMath>
      <w:r w:rsidRPr="007A1775">
        <w:rPr>
          <w:rFonts w:asciiTheme="majorHAnsi" w:hAnsiTheme="majorHAnsi"/>
          <w:szCs w:val="20"/>
        </w:rPr>
        <w:t>differential step size (1dB for 2dB step)</w:t>
      </w:r>
      <w:r>
        <w:rPr>
          <w:rFonts w:asciiTheme="majorHAnsi" w:hAnsiTheme="majorHAnsi"/>
          <w:szCs w:val="20"/>
        </w:rPr>
        <w:t xml:space="preserve">, </w:t>
      </w:r>
      <w:r w:rsidRPr="00844DEA">
        <w:rPr>
          <w:rFonts w:asciiTheme="majorHAnsi" w:hAnsiTheme="majorHAnsi"/>
          <w:szCs w:val="20"/>
        </w:rPr>
        <w:t>Consider</w:t>
      </w:r>
      <w:r>
        <w:rPr>
          <w:rFonts w:asciiTheme="majorHAnsi" w:hAnsiTheme="majorHAnsi"/>
          <w:szCs w:val="20"/>
        </w:rPr>
        <w:t>ing</w:t>
      </w:r>
      <w:r w:rsidRPr="00844DEA">
        <w:rPr>
          <w:rFonts w:asciiTheme="majorHAnsi" w:hAnsiTheme="majorHAnsi"/>
          <w:szCs w:val="20"/>
        </w:rPr>
        <w:t xml:space="preserve"> the quantization method with rounding off</w:t>
      </w:r>
      <w:r>
        <w:rPr>
          <w:rFonts w:asciiTheme="majorHAnsi" w:hAnsiTheme="majorHAnsi"/>
          <w:szCs w:val="20"/>
        </w:rPr>
        <w:t>.</w:t>
      </w:r>
    </w:p>
    <w:p w14:paraId="25124483" w14:textId="77777777" w:rsidR="00A50502" w:rsidRPr="00F80175" w:rsidRDefault="00A50502" w:rsidP="00A50502">
      <w:pPr>
        <w:spacing w:beforeLines="100" w:before="240" w:afterLines="100" w:after="240"/>
        <w:rPr>
          <w:rFonts w:asciiTheme="majorHAnsi" w:hAnsiTheme="majorHAnsi"/>
        </w:rPr>
      </w:pPr>
      <w:r w:rsidRPr="00F80175">
        <w:rPr>
          <w:rFonts w:asciiTheme="majorHAnsi" w:hAnsiTheme="majorHAnsi"/>
        </w:rPr>
        <w:t>2. Ranking Instability: Beam order changes between prediction and ground truth reports amplify inconsistencies.</w:t>
      </w:r>
    </w:p>
    <w:p w14:paraId="48DB126E"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These limitations lead to </w:t>
      </w:r>
      <w:r>
        <w:rPr>
          <w:rFonts w:asciiTheme="majorHAnsi" w:hAnsiTheme="majorHAnsi"/>
        </w:rPr>
        <w:t>two</w:t>
      </w:r>
      <w:r w:rsidRPr="003A47A1">
        <w:rPr>
          <w:rFonts w:asciiTheme="majorHAnsi" w:hAnsiTheme="majorHAnsi"/>
        </w:rPr>
        <w:t xml:space="preserve"> fundamental observations:</w:t>
      </w:r>
    </w:p>
    <w:p w14:paraId="175EF2AF" w14:textId="77777777" w:rsidR="00A50502" w:rsidRPr="00F80175" w:rsidRDefault="00A50502" w:rsidP="00A50502">
      <w:pPr>
        <w:spacing w:after="120"/>
        <w:rPr>
          <w:rFonts w:asciiTheme="majorHAnsi" w:hAnsiTheme="majorHAnsi"/>
        </w:rPr>
      </w:pPr>
      <w:r w:rsidRPr="00F80175">
        <w:rPr>
          <w:rFonts w:asciiTheme="majorHAnsi" w:hAnsiTheme="majorHAnsi"/>
        </w:rPr>
        <w:t>1. Error Propagation:</w:t>
      </w:r>
    </w:p>
    <w:p w14:paraId="3090EC8E"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Single-differential beams (e.g., 2nd-ranked): 1 dB uncertainty.</w:t>
      </w:r>
    </w:p>
    <w:p w14:paraId="42CFDA47"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Twice-differential beams (e.g., 3rd-ranked): 2 dB uncertainty.</w:t>
      </w:r>
    </w:p>
    <w:p w14:paraId="3AF5B5B4" w14:textId="77777777" w:rsidR="00A50502" w:rsidRPr="00F80175" w:rsidRDefault="00A50502" w:rsidP="00A50502">
      <w:pPr>
        <w:spacing w:after="120"/>
        <w:rPr>
          <w:rFonts w:asciiTheme="majorHAnsi" w:hAnsiTheme="majorHAnsi"/>
        </w:rPr>
      </w:pPr>
      <w:r w:rsidRPr="00F80175">
        <w:rPr>
          <w:rFonts w:asciiTheme="majorHAnsi" w:hAnsiTheme="majorHAnsi"/>
        </w:rPr>
        <w:t>2. Validation Reliability:</w:t>
      </w:r>
    </w:p>
    <w:p w14:paraId="7F48810B"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Direct comparison of predicted vs. measured RSRP for non-top-1 beams becomes unreliable due to:</w:t>
      </w:r>
    </w:p>
    <w:p w14:paraId="1B8B8E37"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Ranking mismatches.</w:t>
      </w:r>
    </w:p>
    <w:p w14:paraId="53DB9A56"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Compounded quantization noise.</w:t>
      </w:r>
    </w:p>
    <w:p w14:paraId="2ABCC496"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To ensure reliable validation while minimizing complexity</w:t>
      </w:r>
      <w:r>
        <w:rPr>
          <w:rFonts w:asciiTheme="majorHAnsi" w:hAnsiTheme="majorHAnsi"/>
          <w:szCs w:val="20"/>
        </w:rPr>
        <w:t>, we suggest to d</w:t>
      </w:r>
      <w:r w:rsidRPr="003A47A1">
        <w:rPr>
          <w:rFonts w:asciiTheme="majorHAnsi" w:hAnsiTheme="majorHAnsi"/>
          <w:szCs w:val="20"/>
        </w:rPr>
        <w:t xml:space="preserve">efine absolute RSRP accuracy only for the top-1 predicted beam to:  </w:t>
      </w:r>
      <m:oMath>
        <m:r>
          <w:rPr>
            <w:rFonts w:ascii="Cambria Math" w:hAnsi="Cambria Math"/>
            <w:szCs w:val="20"/>
          </w:rPr>
          <m:t xml:space="preserve">  </m:t>
        </m:r>
      </m:oMath>
    </w:p>
    <w:p w14:paraId="26CE8530"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 Avoids compounding quantization errors from differential reporting.  </w:t>
      </w:r>
    </w:p>
    <w:p w14:paraId="5BD83BFB"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 Aligns with legacy beam reporting, which focuses on the highest-ranked beam.  </w:t>
      </w:r>
    </w:p>
    <w:p w14:paraId="1181F935" w14:textId="77777777" w:rsidR="00A50502" w:rsidRPr="0087251E" w:rsidRDefault="00A50502" w:rsidP="00A50502">
      <w:pPr>
        <w:pStyle w:val="a3"/>
        <w:spacing w:beforeLines="50" w:before="120" w:after="120" w:line="240" w:lineRule="auto"/>
        <w:rPr>
          <w:rFonts w:asciiTheme="majorHAnsi" w:hAnsiTheme="majorHAnsi" w:cstheme="majorHAnsi"/>
          <w:b/>
          <w:bCs/>
          <w:iCs/>
        </w:rPr>
      </w:pPr>
      <w:r w:rsidRPr="0087251E">
        <w:rPr>
          <w:rFonts w:asciiTheme="majorHAnsi" w:hAnsiTheme="majorHAnsi" w:cstheme="majorHAnsi" w:hint="eastAsia"/>
          <w:b/>
          <w:bCs/>
          <w:iCs/>
        </w:rPr>
        <w:t>P</w:t>
      </w:r>
      <w:r w:rsidRPr="0087251E">
        <w:rPr>
          <w:rFonts w:asciiTheme="majorHAnsi" w:hAnsiTheme="majorHAnsi" w:cstheme="majorHAnsi"/>
          <w:b/>
          <w:bCs/>
          <w:iCs/>
        </w:rPr>
        <w:t>roposal</w:t>
      </w:r>
      <w:r>
        <w:rPr>
          <w:rFonts w:asciiTheme="majorHAnsi" w:hAnsiTheme="majorHAnsi" w:cstheme="majorHAnsi"/>
          <w:b/>
          <w:bCs/>
          <w:iCs/>
        </w:rPr>
        <w:t xml:space="preserve"> 2</w:t>
      </w:r>
      <w:r w:rsidRPr="0087251E">
        <w:rPr>
          <w:rFonts w:asciiTheme="majorHAnsi" w:hAnsiTheme="majorHAnsi" w:cstheme="majorHAnsi"/>
          <w:b/>
          <w:bCs/>
          <w:iCs/>
        </w:rPr>
        <w:t xml:space="preserve">: Only define </w:t>
      </w:r>
      <w:r w:rsidRPr="0087251E">
        <w:rPr>
          <w:rFonts w:asciiTheme="majorHAnsi" w:eastAsia="Yu Mincho" w:hAnsiTheme="majorHAnsi" w:cstheme="majorHAnsi"/>
          <w:b/>
          <w:bCs/>
          <w:lang w:eastAsia="ja-JP"/>
        </w:rPr>
        <w:t>Absolute RSRP accuracy requirement for Top-1 of predicted beam.</w:t>
      </w:r>
    </w:p>
    <w:p w14:paraId="424224BF" w14:textId="77777777" w:rsidR="00A50502" w:rsidRPr="000045F2" w:rsidRDefault="00A50502" w:rsidP="00A50502">
      <w:pPr>
        <w:pStyle w:val="3"/>
        <w:spacing w:before="240" w:after="120"/>
        <w:rPr>
          <w:rFonts w:asciiTheme="majorHAnsi" w:hAnsiTheme="majorHAnsi" w:cstheme="majorHAnsi"/>
          <w:sz w:val="20"/>
        </w:rPr>
      </w:pPr>
      <w:bookmarkStart w:id="3" w:name="OLE_LINK5"/>
      <w:r w:rsidRPr="000045F2">
        <w:rPr>
          <w:rFonts w:asciiTheme="majorHAnsi" w:hAnsiTheme="majorHAnsi" w:cstheme="majorHAnsi"/>
          <w:sz w:val="20"/>
        </w:rPr>
        <w:t>2.1.3 RSRP relative accuracy</w:t>
      </w:r>
    </w:p>
    <w:p w14:paraId="7E887997" w14:textId="77777777" w:rsidR="00A50502" w:rsidRPr="000045F2" w:rsidRDefault="00A50502" w:rsidP="00A50502">
      <w:pPr>
        <w:spacing w:after="120"/>
        <w:rPr>
          <w:rFonts w:asciiTheme="majorHAnsi" w:hAnsiTheme="majorHAnsi"/>
          <w:szCs w:val="20"/>
          <w:lang w:val="en-GB"/>
        </w:rPr>
      </w:pPr>
      <w:r w:rsidRPr="000045F2">
        <w:rPr>
          <w:rFonts w:asciiTheme="majorHAnsi" w:hAnsiTheme="majorHAnsi"/>
          <w:szCs w:val="20"/>
          <w:lang w:val="en-GB"/>
        </w:rPr>
        <w:t>RAN4 agrees to further discuss the definition of relative accuracy.</w:t>
      </w:r>
    </w:p>
    <w:tbl>
      <w:tblPr>
        <w:tblStyle w:val="ad"/>
        <w:tblW w:w="0" w:type="auto"/>
        <w:tblLook w:val="04A0" w:firstRow="1" w:lastRow="0" w:firstColumn="1" w:lastColumn="0" w:noHBand="0" w:noVBand="1"/>
      </w:tblPr>
      <w:tblGrid>
        <w:gridCol w:w="9628"/>
      </w:tblGrid>
      <w:tr w:rsidR="00A50502" w:rsidRPr="000045F2" w14:paraId="19CD4A72" w14:textId="77777777" w:rsidTr="007E215B">
        <w:tc>
          <w:tcPr>
            <w:tcW w:w="9628" w:type="dxa"/>
          </w:tcPr>
          <w:p w14:paraId="54AD9DA0" w14:textId="77777777" w:rsidR="00A50502" w:rsidRPr="000045F2" w:rsidRDefault="00A50502" w:rsidP="00420833">
            <w:pPr>
              <w:pStyle w:val="ab"/>
              <w:numPr>
                <w:ilvl w:val="0"/>
                <w:numId w:val="7"/>
              </w:numPr>
              <w:overflowPunct w:val="0"/>
              <w:autoSpaceDE w:val="0"/>
              <w:autoSpaceDN w:val="0"/>
              <w:adjustRightInd w:val="0"/>
              <w:spacing w:after="120"/>
              <w:ind w:left="426" w:firstLineChars="0"/>
              <w:textAlignment w:val="baseline"/>
              <w:rPr>
                <w:rFonts w:asciiTheme="majorHAnsi" w:hAnsiTheme="majorHAnsi"/>
              </w:rPr>
            </w:pPr>
            <w:r w:rsidRPr="000045F2">
              <w:rPr>
                <w:rFonts w:asciiTheme="majorHAnsi" w:hAnsiTheme="majorHAnsi"/>
              </w:rPr>
              <w:t>RAN4 to use the follow as baseline for further discussions, if the relative RSRP accuracy requirement is defined</w:t>
            </w:r>
          </w:p>
          <w:p w14:paraId="2384E210" w14:textId="77777777" w:rsidR="00A50502" w:rsidRPr="000045F2"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rPr>
            </w:pPr>
            <w:r w:rsidRPr="000045F2">
              <w:rPr>
                <w:rFonts w:asciiTheme="majorHAnsi" w:eastAsia="Yu Mincho" w:hAnsiTheme="majorHAnsi"/>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3BE1389C" w14:textId="77777777" w:rsidR="00A50502" w:rsidRPr="000045F2" w:rsidRDefault="00A50502" w:rsidP="00420833">
            <w:pPr>
              <w:pStyle w:val="ab"/>
              <w:numPr>
                <w:ilvl w:val="2"/>
                <w:numId w:val="7"/>
              </w:numPr>
              <w:overflowPunct w:val="0"/>
              <w:autoSpaceDE w:val="0"/>
              <w:autoSpaceDN w:val="0"/>
              <w:adjustRightInd w:val="0"/>
              <w:spacing w:after="120"/>
              <w:ind w:left="1276" w:firstLineChars="0"/>
              <w:textAlignment w:val="baseline"/>
              <w:rPr>
                <w:rFonts w:asciiTheme="majorHAnsi" w:hAnsiTheme="majorHAnsi"/>
              </w:rPr>
            </w:pPr>
            <w:r w:rsidRPr="000045F2">
              <w:rPr>
                <w:rFonts w:asciiTheme="majorHAnsi" w:eastAsia="Yu Mincho" w:hAnsiTheme="majorHAnsi"/>
                <w:lang w:eastAsia="ja-JP"/>
              </w:rPr>
              <w:t xml:space="preserve">Reported L1-RSRP can be predicted, </w:t>
            </w:r>
          </w:p>
          <w:p w14:paraId="4A45865F" w14:textId="77777777" w:rsidR="00A50502" w:rsidRPr="000045F2" w:rsidRDefault="00A50502" w:rsidP="00420833">
            <w:pPr>
              <w:pStyle w:val="ab"/>
              <w:numPr>
                <w:ilvl w:val="2"/>
                <w:numId w:val="7"/>
              </w:numPr>
              <w:overflowPunct w:val="0"/>
              <w:autoSpaceDE w:val="0"/>
              <w:autoSpaceDN w:val="0"/>
              <w:adjustRightInd w:val="0"/>
              <w:spacing w:after="120"/>
              <w:ind w:left="1276" w:firstLineChars="0"/>
              <w:textAlignment w:val="baseline"/>
              <w:rPr>
                <w:rFonts w:asciiTheme="majorHAnsi" w:hAnsiTheme="majorHAnsi"/>
              </w:rPr>
            </w:pPr>
            <w:r w:rsidRPr="000045F2">
              <w:rPr>
                <w:rFonts w:asciiTheme="majorHAnsi" w:eastAsia="Yu Mincho" w:hAnsiTheme="majorHAnsi"/>
                <w:lang w:eastAsia="ja-JP"/>
              </w:rPr>
              <w:t>FFS whether reported L1-RSRP can be measured RSRP</w:t>
            </w:r>
          </w:p>
          <w:p w14:paraId="6840D236" w14:textId="77777777" w:rsidR="00A50502" w:rsidRPr="0087251E"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rPr>
            </w:pPr>
            <w:r w:rsidRPr="000045F2">
              <w:rPr>
                <w:rFonts w:asciiTheme="majorHAnsi" w:eastAsia="Yu Mincho" w:hAnsiTheme="majorHAnsi"/>
              </w:rPr>
              <w:t>Relative RSRP accuracy requirements apply for Case 1, and FFS on whether it can apply for Case 2</w:t>
            </w:r>
          </w:p>
        </w:tc>
      </w:tr>
    </w:tbl>
    <w:p w14:paraId="73ADAF4F" w14:textId="77777777" w:rsidR="00A50502" w:rsidRPr="000045F2" w:rsidRDefault="00A50502" w:rsidP="00A50502">
      <w:pPr>
        <w:spacing w:after="120"/>
        <w:rPr>
          <w:rFonts w:asciiTheme="majorHAnsi" w:eastAsia="等线" w:hAnsiTheme="majorHAnsi"/>
          <w:szCs w:val="20"/>
        </w:rPr>
      </w:pPr>
    </w:p>
    <w:p w14:paraId="692B56DE"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lastRenderedPageBreak/>
        <w:t>In legacy, relative RSRP accuracy is defined for measured differential RSRP reporting. Therefore, similarly, we suggest to define relative RSRP accuracy for predicted differential RSRP reporting.</w:t>
      </w:r>
    </w:p>
    <w:p w14:paraId="3EB07584"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Therefore,</w:t>
      </w:r>
    </w:p>
    <w:p w14:paraId="12990DE4"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Relative accuracy for BM-case 1 is similar as legacy:</w:t>
      </w:r>
    </w:p>
    <w:p w14:paraId="14B69B81" w14:textId="77777777" w:rsidR="00A50502" w:rsidRPr="000045F2"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szCs w:val="20"/>
        </w:rPr>
      </w:pPr>
      <w:bookmarkStart w:id="4" w:name="OLE_LINK2"/>
      <w:r w:rsidRPr="000045F2">
        <w:rPr>
          <w:rFonts w:asciiTheme="majorHAnsi" w:eastAsia="Yu Mincho" w:hAnsiTheme="majorHAnsi"/>
          <w:szCs w:val="20"/>
          <w:lang w:eastAsia="ja-JP"/>
        </w:rPr>
        <w:t>Relative RSRP accuracy for reported beams during inference reporting = (predicted L1-RSRP of beam index i - predicted L1-RSRP of beam index n) - (ground truth of L1-RSRP of beam index i - ground truth of L1-RSRP of beam index n), where the beam index n owns the largest prediction RSRP.</w:t>
      </w:r>
    </w:p>
    <w:p w14:paraId="3C7855C4" w14:textId="77777777" w:rsidR="00A50502" w:rsidRPr="000045F2" w:rsidRDefault="00A50502" w:rsidP="00A50502">
      <w:pPr>
        <w:spacing w:after="120"/>
        <w:rPr>
          <w:rFonts w:asciiTheme="majorHAnsi" w:eastAsia="等线" w:hAnsiTheme="majorHAnsi"/>
          <w:szCs w:val="20"/>
        </w:rPr>
      </w:pPr>
      <w:r w:rsidRPr="000045F2">
        <w:rPr>
          <w:rFonts w:asciiTheme="majorHAnsi" w:eastAsia="Yu Mincho" w:hAnsiTheme="majorHAnsi"/>
          <w:szCs w:val="20"/>
          <w:lang w:eastAsia="ja-JP"/>
        </w:rPr>
        <w:t xml:space="preserve">Where predicted L1-RSRP of beam index i - predicted L1-RSRP of beam index n is predicted differential RSRP in the report. </w:t>
      </w:r>
    </w:p>
    <w:bookmarkEnd w:id="4"/>
    <w:p w14:paraId="6F7F18FE"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Another issue is that whether relative accuracy defined above can apply for BM case-2.</w:t>
      </w:r>
    </w:p>
    <w:p w14:paraId="79EEAB7A" w14:textId="77777777" w:rsidR="00A50502" w:rsidRPr="000045F2" w:rsidRDefault="00A50502" w:rsidP="00A50502">
      <w:pPr>
        <w:spacing w:after="120"/>
        <w:rPr>
          <w:rFonts w:asciiTheme="majorHAnsi" w:hAnsiTheme="majorHAnsi"/>
          <w:b/>
          <w:bCs/>
          <w:szCs w:val="20"/>
          <w:u w:val="single"/>
        </w:rPr>
      </w:pPr>
      <w:r w:rsidRPr="000045F2">
        <w:rPr>
          <w:rFonts w:asciiTheme="majorHAnsi" w:hAnsiTheme="majorHAnsi"/>
          <w:b/>
          <w:bCs/>
          <w:szCs w:val="20"/>
          <w:u w:val="single"/>
        </w:rPr>
        <w:t xml:space="preserve">Extension to BM-Case 2  </w:t>
      </w:r>
    </w:p>
    <w:p w14:paraId="5435540A"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The baseline relative RSRP accuracy definition (designed for BM-Case 1) cannot be directly applied to BM-Case 2 due to fundamental differences in reporting structure and reference point selection. Here’s a detailed breakdown of the limitations:</w:t>
      </w:r>
    </w:p>
    <w:p w14:paraId="1CE5F30E"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1. Single-Instance vs. Multi-Instance Reporting</w:t>
      </w:r>
    </w:p>
    <w:p w14:paraId="3CAA1762" w14:textId="77777777" w:rsidR="00A50502" w:rsidRPr="00B962D5" w:rsidRDefault="00A50502" w:rsidP="00420833">
      <w:pPr>
        <w:pStyle w:val="ab"/>
        <w:numPr>
          <w:ilvl w:val="0"/>
          <w:numId w:val="11"/>
        </w:numPr>
        <w:spacing w:after="120"/>
        <w:ind w:firstLineChars="0"/>
        <w:rPr>
          <w:rFonts w:asciiTheme="majorHAnsi" w:hAnsiTheme="majorHAnsi"/>
          <w:szCs w:val="20"/>
        </w:rPr>
      </w:pPr>
      <w:r w:rsidRPr="00B962D5">
        <w:rPr>
          <w:rFonts w:asciiTheme="majorHAnsi" w:hAnsiTheme="majorHAnsi"/>
          <w:szCs w:val="20"/>
        </w:rPr>
        <w:t xml:space="preserve">BM-Case 1 (Single Time Instance):  </w:t>
      </w:r>
    </w:p>
    <w:p w14:paraId="644FE663"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Reports K beams at one time instance.  </w:t>
      </w:r>
    </w:p>
    <w:p w14:paraId="6846515C"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The reference beam (n) is clearly defined as the highest-RSRP beam within that report.  </w:t>
      </w:r>
    </w:p>
    <w:p w14:paraId="6CAC17C0"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Relative accuracy compares all other beams (i) to this fixed reference (n) in the same snapshot.  </w:t>
      </w:r>
    </w:p>
    <w:p w14:paraId="21181F15" w14:textId="648A3BA7" w:rsidR="00A50502" w:rsidRDefault="00A50502" w:rsidP="00420833">
      <w:pPr>
        <w:pStyle w:val="ab"/>
        <w:numPr>
          <w:ilvl w:val="0"/>
          <w:numId w:val="11"/>
        </w:numPr>
        <w:spacing w:after="120"/>
        <w:ind w:firstLineChars="0"/>
        <w:rPr>
          <w:rFonts w:asciiTheme="majorHAnsi" w:hAnsiTheme="majorHAnsi"/>
          <w:szCs w:val="20"/>
        </w:rPr>
      </w:pPr>
      <w:r w:rsidRPr="000045F2">
        <w:rPr>
          <w:rFonts w:asciiTheme="majorHAnsi" w:hAnsiTheme="majorHAnsi"/>
          <w:szCs w:val="20"/>
        </w:rPr>
        <w:t xml:space="preserve">BM-Case 2 (Multiple Time Instances):  </w:t>
      </w:r>
    </w:p>
    <w:p w14:paraId="6CA17056" w14:textId="77777777" w:rsidR="00B055BC"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K beams × N time instances are reported.</w:t>
      </w:r>
    </w:p>
    <w:p w14:paraId="2B48E6EF" w14:textId="77777777" w:rsidR="00B055BC"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The baseline definition assumes the reference beam n and the target beam i are from the same time instance, which may not hold in Case-2.</w:t>
      </w:r>
    </w:p>
    <w:p w14:paraId="261F6BFB" w14:textId="53A2E570" w:rsidR="000F53B0" w:rsidRPr="000045F2"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When the reference changes across time, inter-time comparisons become ambiguous and the metric is not well-defined.</w:t>
      </w:r>
    </w:p>
    <w:p w14:paraId="32B7CAA7" w14:textId="77777777" w:rsidR="00A50502" w:rsidRPr="006673FC" w:rsidRDefault="00A50502" w:rsidP="00A50502">
      <w:pPr>
        <w:spacing w:after="120"/>
        <w:rPr>
          <w:rFonts w:asciiTheme="majorHAnsi" w:eastAsia="宋体" w:hAnsiTheme="majorHAnsi"/>
          <w:szCs w:val="20"/>
        </w:rPr>
      </w:pPr>
      <w:r w:rsidRPr="006673FC">
        <w:rPr>
          <w:rFonts w:asciiTheme="majorHAnsi" w:hAnsiTheme="majorHAnsi"/>
          <w:szCs w:val="20"/>
        </w:rPr>
        <w:t>The baseline formula assumes the reference (n) and target (i) beams are </w:t>
      </w:r>
      <w:r w:rsidRPr="006673FC">
        <w:rPr>
          <w:rFonts w:asciiTheme="majorHAnsi" w:hAnsiTheme="majorHAnsi"/>
          <w:b/>
          <w:bCs/>
          <w:szCs w:val="20"/>
        </w:rPr>
        <w:t>from the same time instance</w:t>
      </w:r>
      <w:r w:rsidRPr="006673FC">
        <w:rPr>
          <w:rFonts w:asciiTheme="majorHAnsi" w:hAnsiTheme="majorHAnsi"/>
          <w:szCs w:val="20"/>
        </w:rPr>
        <w:t>, which is </w:t>
      </w:r>
      <w:r w:rsidRPr="006673FC">
        <w:rPr>
          <w:rFonts w:asciiTheme="majorHAnsi" w:hAnsiTheme="majorHAnsi"/>
          <w:b/>
          <w:bCs/>
          <w:szCs w:val="20"/>
        </w:rPr>
        <w:t>invalid</w:t>
      </w:r>
      <w:r w:rsidRPr="006673FC">
        <w:rPr>
          <w:rFonts w:asciiTheme="majorHAnsi" w:hAnsiTheme="majorHAnsi"/>
          <w:szCs w:val="20"/>
        </w:rPr>
        <w:t xml:space="preserve"> when n and i span multiple times. </w:t>
      </w:r>
      <w:r w:rsidRPr="004235A0">
        <w:rPr>
          <w:rFonts w:asciiTheme="majorHAnsi" w:hAnsiTheme="majorHAnsi"/>
          <w:szCs w:val="20"/>
        </w:rPr>
        <w:t>The baseline definition lacks a mechanism to handle this two-dimensional variability.</w:t>
      </w:r>
    </w:p>
    <w:p w14:paraId="4FE646C7" w14:textId="77777777" w:rsidR="00A50502" w:rsidRPr="006673FC" w:rsidRDefault="00A50502" w:rsidP="00A50502">
      <w:pPr>
        <w:spacing w:after="120"/>
        <w:rPr>
          <w:rFonts w:asciiTheme="majorHAnsi" w:hAnsiTheme="majorHAnsi"/>
          <w:szCs w:val="20"/>
        </w:rPr>
      </w:pPr>
      <w:r>
        <w:rPr>
          <w:rFonts w:asciiTheme="majorHAnsi" w:hAnsiTheme="majorHAnsi"/>
          <w:szCs w:val="20"/>
        </w:rPr>
        <w:t>In summary:</w:t>
      </w:r>
    </w:p>
    <w:p w14:paraId="50361F87" w14:textId="77777777" w:rsidR="00A50502" w:rsidRPr="00C86CA5" w:rsidRDefault="00A50502" w:rsidP="00A50502">
      <w:pPr>
        <w:spacing w:afterLines="100" w:after="240"/>
        <w:rPr>
          <w:rFonts w:asciiTheme="majorHAnsi" w:hAnsiTheme="majorHAnsi"/>
          <w:szCs w:val="20"/>
        </w:rPr>
      </w:pPr>
      <w:r w:rsidRPr="00C86CA5">
        <w:rPr>
          <w:rFonts w:asciiTheme="majorHAnsi" w:hAnsiTheme="majorHAnsi"/>
          <w:szCs w:val="20"/>
        </w:rPr>
        <w:t>We suggested to use a unified expression for both BM case-1 and case-2:</w:t>
      </w:r>
    </w:p>
    <w:p w14:paraId="476452B6" w14:textId="77777777" w:rsidR="00A50502" w:rsidRPr="004A19E7" w:rsidRDefault="00A50502" w:rsidP="00A50502">
      <w:pPr>
        <w:pStyle w:val="a3"/>
        <w:spacing w:after="120"/>
        <w:jc w:val="both"/>
        <w:rPr>
          <w:rFonts w:eastAsia="仿宋"/>
          <w:lang w:val="en-GB" w:eastAsia="ja-JP"/>
        </w:rPr>
      </w:pPr>
      <m:oMathPara>
        <m:oMath>
          <m:r>
            <m:rPr>
              <m:nor/>
            </m:rPr>
            <w:rPr>
              <w:rFonts w:eastAsia="仿宋"/>
            </w:rPr>
            <m:t xml:space="preserve">Relative RSRP </m:t>
          </m:r>
          <m:sSub>
            <m:sSubPr>
              <m:ctrlPr>
                <w:rPr>
                  <w:rFonts w:ascii="Cambria Math" w:eastAsia="仿宋" w:hAnsi="Cambria Math"/>
                  <w:i/>
                </w:rPr>
              </m:ctrlPr>
            </m:sSubPr>
            <m:e>
              <m:r>
                <m:rPr>
                  <m:nor/>
                </m:rPr>
                <w:rPr>
                  <w:rFonts w:eastAsia="仿宋"/>
                </w:rPr>
                <m:t>Accuracy</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d>
            <m:dPr>
              <m:ctrlPr>
                <w:rPr>
                  <w:rFonts w:ascii="Cambria Math" w:eastAsia="仿宋" w:hAnsi="Cambria Math"/>
                </w:rPr>
              </m:ctrlPr>
            </m:dPr>
            <m:e>
              <m:r>
                <m:rPr>
                  <m:nor/>
                </m:rPr>
                <w:rPr>
                  <w:rFonts w:eastAsia="仿宋"/>
                </w:rPr>
                <m:t xml:space="preserve">Predicted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r>
                <m:rPr>
                  <m:nor/>
                </m:rPr>
                <w:rPr>
                  <w:rFonts w:eastAsia="仿宋"/>
                </w:rPr>
                <m:t xml:space="preserve">Predicted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m:rPr>
                      <m:nor/>
                    </m:rPr>
                    <w:rPr>
                      <w:rFonts w:eastAsia="仿宋"/>
                    </w:rPr>
                    <m:t>max</m:t>
                  </m:r>
                </m:sub>
              </m:sSub>
              <m:ctrlPr>
                <w:rPr>
                  <w:rFonts w:ascii="Cambria Math" w:eastAsia="仿宋" w:hAnsi="Cambria Math"/>
                  <w:i/>
                </w:rPr>
              </m:ctrlPr>
            </m:e>
          </m:d>
          <m:r>
            <w:rPr>
              <w:rFonts w:ascii="Cambria Math" w:eastAsia="仿宋" w:hAnsi="Cambria Math"/>
            </w:rPr>
            <m:t>-</m:t>
          </m:r>
          <m:d>
            <m:dPr>
              <m:ctrlPr>
                <w:rPr>
                  <w:rFonts w:ascii="Cambria Math" w:eastAsia="仿宋" w:hAnsi="Cambria Math"/>
                </w:rPr>
              </m:ctrlPr>
            </m:dPr>
            <m:e>
              <m:r>
                <m:rPr>
                  <m:nor/>
                </m:rPr>
                <w:rPr>
                  <w:rFonts w:eastAsia="仿宋"/>
                </w:rPr>
                <m:t xml:space="preserve">True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r>
                <m:rPr>
                  <m:nor/>
                </m:rPr>
                <w:rPr>
                  <w:rFonts w:eastAsia="仿宋"/>
                </w:rPr>
                <m:t xml:space="preserve">True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m:rPr>
                      <m:nor/>
                    </m:rPr>
                    <w:rPr>
                      <w:rFonts w:eastAsia="仿宋"/>
                    </w:rPr>
                    <m:t>max</m:t>
                  </m:r>
                </m:sub>
              </m:sSub>
              <m:ctrlPr>
                <w:rPr>
                  <w:rFonts w:ascii="Cambria Math" w:eastAsia="仿宋" w:hAnsi="Cambria Math"/>
                  <w:i/>
                </w:rPr>
              </m:ctrlPr>
            </m:e>
          </m:d>
        </m:oMath>
      </m:oMathPara>
    </w:p>
    <w:p w14:paraId="6EC5F3B2" w14:textId="77777777" w:rsidR="00A50502" w:rsidRPr="009950AA" w:rsidRDefault="00A50502" w:rsidP="00A50502">
      <w:pPr>
        <w:pStyle w:val="a3"/>
        <w:spacing w:after="120" w:line="240" w:lineRule="auto"/>
        <w:jc w:val="both"/>
        <w:rPr>
          <w:rFonts w:asciiTheme="majorHAnsi" w:eastAsia="仿宋" w:hAnsiTheme="majorHAnsi" w:cstheme="majorHAnsi"/>
        </w:rPr>
      </w:pPr>
      <w:r w:rsidRPr="009950AA">
        <w:rPr>
          <w:rFonts w:asciiTheme="majorHAnsi" w:eastAsia="仿宋" w:hAnsiTheme="majorHAnsi" w:cstheme="majorHAnsi"/>
        </w:rPr>
        <w:t xml:space="preserve">Where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the largest RSRP across all time instance and beams in the report</w:t>
      </w:r>
      <w:r w:rsidRPr="009950AA">
        <w:rPr>
          <w:rFonts w:asciiTheme="majorHAnsi" w:eastAsia="仿宋" w:hAnsiTheme="majorHAnsi" w:cstheme="majorHAnsi"/>
        </w:rPr>
        <w:t>。</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w:rPr>
                <w:rFonts w:ascii="Cambria Math" w:eastAsia="仿宋" w:hAnsi="Cambria Math" w:cstheme="majorHAnsi"/>
              </w:rPr>
              <m:t>i,t</m:t>
            </m:r>
          </m:sub>
        </m:sSub>
      </m:oMath>
      <w:r w:rsidRPr="009950AA">
        <w:rPr>
          <w:rFonts w:asciiTheme="majorHAnsi" w:eastAsia="仿宋" w:hAnsiTheme="majorHAnsi" w:cstheme="majorHAnsi"/>
        </w:rPr>
        <w:t xml:space="preserve"> is RSRP of beam index i at time t</w:t>
      </w:r>
      <w:r w:rsidRPr="009950AA">
        <w:rPr>
          <w:rFonts w:asciiTheme="majorHAnsi" w:eastAsia="仿宋" w:hAnsiTheme="majorHAnsi" w:cstheme="majorHAnsi"/>
        </w:rPr>
        <w:t>。</w:t>
      </w:r>
      <m:oMath>
        <m:r>
          <m:rPr>
            <m:nor/>
          </m:rPr>
          <w:rPr>
            <w:rFonts w:asciiTheme="majorHAnsi" w:eastAsia="仿宋" w:hAnsiTheme="majorHAnsi" w:cstheme="majorHAnsi"/>
          </w:rPr>
          <m:t xml:space="preserve">True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the true RSRP corresponding to the beam/time of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w:t>
      </w:r>
      <w:r w:rsidRPr="009950AA">
        <w:rPr>
          <w:rFonts w:asciiTheme="majorHAnsi" w:eastAsia="仿宋" w:hAnsiTheme="majorHAnsi" w:cstheme="majorHAnsi"/>
        </w:rPr>
        <w:t xml:space="preserve">Where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w:rPr>
                <w:rFonts w:ascii="Cambria Math" w:eastAsia="仿宋" w:hAnsi="Cambria Math" w:cstheme="majorHAnsi"/>
              </w:rPr>
              <m:t>i,t</m:t>
            </m:r>
          </m:sub>
        </m:sSub>
        <m:r>
          <w:rPr>
            <w:rFonts w:ascii="Cambria Math" w:eastAsia="仿宋" w:hAnsi="Cambria Math" w:cstheme="majorHAnsi"/>
          </w:rPr>
          <m:t>-</m:t>
        </m:r>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w:t>
      </w:r>
      <w:r w:rsidRPr="009950AA">
        <w:rPr>
          <w:rFonts w:asciiTheme="majorHAnsi" w:eastAsia="Yu Mincho" w:hAnsiTheme="majorHAnsi" w:cstheme="majorHAnsi"/>
          <w:lang w:eastAsia="ja-JP"/>
        </w:rPr>
        <w:t>predicted differential RSRP in the report.</w:t>
      </w:r>
    </w:p>
    <w:bookmarkEnd w:id="3"/>
    <w:p w14:paraId="3B22DCDD" w14:textId="3B91D233" w:rsidR="00A50502" w:rsidRDefault="00A50502" w:rsidP="00A50502">
      <w:pPr>
        <w:spacing w:afterLines="100" w:after="240"/>
        <w:rPr>
          <w:rFonts w:asciiTheme="majorHAnsi" w:hAnsiTheme="majorHAnsi"/>
          <w:b/>
          <w:bCs/>
          <w:szCs w:val="20"/>
        </w:rPr>
      </w:pPr>
      <w:r>
        <w:rPr>
          <w:rFonts w:asciiTheme="majorHAnsi" w:hAnsiTheme="majorHAnsi"/>
          <w:b/>
          <w:bCs/>
          <w:szCs w:val="20"/>
        </w:rPr>
        <w:t>Proposal</w:t>
      </w:r>
      <w:r w:rsidR="009914A4">
        <w:rPr>
          <w:rFonts w:asciiTheme="majorHAnsi" w:hAnsiTheme="majorHAnsi"/>
          <w:b/>
          <w:bCs/>
          <w:szCs w:val="20"/>
        </w:rPr>
        <w:t xml:space="preserve"> 3</w:t>
      </w:r>
      <w:r>
        <w:rPr>
          <w:rFonts w:asciiTheme="majorHAnsi" w:hAnsiTheme="majorHAnsi"/>
          <w:b/>
          <w:bCs/>
          <w:szCs w:val="20"/>
        </w:rPr>
        <w:t>: For relative predicted RSRP accuracy, define unified definition for both BM-case 1 and BM-case 2:</w:t>
      </w:r>
    </w:p>
    <w:p w14:paraId="437FE506" w14:textId="77777777" w:rsidR="00A50502" w:rsidRPr="00825F2C" w:rsidRDefault="00A50502" w:rsidP="00A50502">
      <w:pPr>
        <w:pStyle w:val="a3"/>
        <w:spacing w:after="120"/>
        <w:jc w:val="both"/>
        <w:rPr>
          <w:rFonts w:eastAsia="仿宋"/>
          <w:b/>
          <w:bCs/>
          <w:lang w:val="en-GB" w:eastAsia="ja-JP"/>
        </w:rPr>
      </w:pPr>
      <m:oMathPara>
        <m:oMath>
          <m:r>
            <m:rPr>
              <m:nor/>
            </m:rPr>
            <w:rPr>
              <w:rFonts w:eastAsia="仿宋"/>
              <w:b/>
              <w:bCs/>
            </w:rPr>
            <m:t xml:space="preserve">Relative RSRP </m:t>
          </m:r>
          <m:sSub>
            <m:sSubPr>
              <m:ctrlPr>
                <w:rPr>
                  <w:rFonts w:ascii="Cambria Math" w:eastAsia="仿宋" w:hAnsi="Cambria Math"/>
                  <w:b/>
                  <w:bCs/>
                  <w:i/>
                </w:rPr>
              </m:ctrlPr>
            </m:sSubPr>
            <m:e>
              <m:r>
                <m:rPr>
                  <m:nor/>
                </m:rPr>
                <w:rPr>
                  <w:rFonts w:eastAsia="仿宋"/>
                  <w:b/>
                  <w:bCs/>
                </w:rPr>
                <m:t>Accuracy</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oMath>
      </m:oMathPara>
    </w:p>
    <w:p w14:paraId="1C81EFBF" w14:textId="6B9FC7F7" w:rsidR="00A50502" w:rsidRDefault="00A50502" w:rsidP="00A50502">
      <w:pPr>
        <w:pStyle w:val="a3"/>
        <w:spacing w:after="120" w:line="240" w:lineRule="auto"/>
        <w:jc w:val="both"/>
        <w:rPr>
          <w:rFonts w:asciiTheme="majorHAnsi" w:eastAsia="Yu Mincho" w:hAnsiTheme="majorHAnsi" w:cstheme="majorHAnsi"/>
          <w:b/>
          <w:bCs/>
          <w:lang w:eastAsia="ja-JP"/>
        </w:rPr>
      </w:pP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largest RSRP across all time instance and beams in the report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oMath>
      <w:r w:rsidRPr="00825F2C">
        <w:rPr>
          <w:rFonts w:asciiTheme="majorHAnsi" w:eastAsia="仿宋" w:hAnsiTheme="majorHAnsi" w:cstheme="majorHAnsi"/>
          <w:b/>
          <w:bCs/>
        </w:rPr>
        <w:t xml:space="preserve"> is RSRP of beam index i at time 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True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true RSRP corresponding to the beam/time of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w:t>
      </w: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r>
          <m:rPr>
            <m:sty m:val="bi"/>
          </m:rPr>
          <w:rPr>
            <w:rFonts w:ascii="Cambria Math" w:eastAsia="仿宋" w:hAnsi="Cambria Math" w:cstheme="majorHAnsi"/>
          </w:rPr>
          <m:t>-</m:t>
        </m:r>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w:t>
      </w:r>
      <w:r w:rsidRPr="00825F2C">
        <w:rPr>
          <w:rFonts w:asciiTheme="majorHAnsi" w:eastAsia="Yu Mincho" w:hAnsiTheme="majorHAnsi" w:cstheme="majorHAnsi"/>
          <w:b/>
          <w:bCs/>
          <w:lang w:eastAsia="ja-JP"/>
        </w:rPr>
        <w:t>predicted differential RSRP in the report.</w:t>
      </w:r>
    </w:p>
    <w:p w14:paraId="6BC742F1" w14:textId="77777777" w:rsidR="00CA432A" w:rsidRPr="00CA432A" w:rsidRDefault="00CA432A" w:rsidP="00A50502">
      <w:pPr>
        <w:pStyle w:val="a3"/>
        <w:spacing w:after="120" w:line="240" w:lineRule="auto"/>
        <w:jc w:val="both"/>
        <w:rPr>
          <w:rFonts w:asciiTheme="majorHAnsi" w:eastAsia="仿宋" w:hAnsiTheme="majorHAnsi" w:cstheme="majorHAnsi"/>
          <w:b/>
          <w:bCs/>
        </w:rPr>
      </w:pPr>
    </w:p>
    <w:p w14:paraId="54388174" w14:textId="43C9E84D" w:rsidR="00A50502" w:rsidRPr="003A47A1" w:rsidRDefault="00A50502" w:rsidP="00420833">
      <w:pPr>
        <w:pStyle w:val="2"/>
        <w:numPr>
          <w:ilvl w:val="3"/>
          <w:numId w:val="3"/>
        </w:numPr>
        <w:tabs>
          <w:tab w:val="left" w:pos="2880"/>
        </w:tabs>
        <w:spacing w:after="120"/>
        <w:ind w:left="0" w:firstLine="0"/>
        <w:rPr>
          <w:rFonts w:asciiTheme="majorHAnsi" w:hAnsiTheme="majorHAnsi" w:cstheme="majorHAnsi"/>
          <w:sz w:val="28"/>
          <w:szCs w:val="28"/>
        </w:rPr>
      </w:pPr>
      <w:bookmarkStart w:id="5" w:name="OLE_LINK4"/>
      <w:r w:rsidRPr="003A47A1">
        <w:rPr>
          <w:rFonts w:asciiTheme="majorHAnsi" w:hAnsiTheme="majorHAnsi" w:cstheme="majorHAnsi"/>
          <w:sz w:val="28"/>
          <w:szCs w:val="28"/>
        </w:rPr>
        <w:t>2.</w:t>
      </w:r>
      <w:r w:rsidR="0047499B">
        <w:rPr>
          <w:rFonts w:asciiTheme="majorHAnsi" w:hAnsiTheme="majorHAnsi" w:cstheme="majorHAnsi"/>
          <w:sz w:val="28"/>
          <w:szCs w:val="28"/>
        </w:rPr>
        <w:t>2</w:t>
      </w:r>
      <w:r w:rsidRPr="003A47A1">
        <w:rPr>
          <w:rFonts w:asciiTheme="majorHAnsi" w:hAnsiTheme="majorHAnsi" w:cstheme="majorHAnsi"/>
          <w:sz w:val="28"/>
          <w:szCs w:val="28"/>
        </w:rPr>
        <w:t xml:space="preserve"> Measurement error</w:t>
      </w:r>
    </w:p>
    <w:p w14:paraId="16CB20A0" w14:textId="77777777" w:rsidR="00A50502" w:rsidRPr="003A47A1" w:rsidRDefault="00A50502" w:rsidP="00A50502">
      <w:pPr>
        <w:pStyle w:val="a3"/>
        <w:spacing w:beforeLines="50" w:before="120" w:after="120"/>
        <w:rPr>
          <w:rFonts w:asciiTheme="majorHAnsi" w:eastAsia="仿宋" w:hAnsiTheme="majorHAnsi" w:cstheme="majorHAnsi"/>
          <w:u w:val="single"/>
        </w:rPr>
      </w:pPr>
      <w:r w:rsidRPr="003A47A1">
        <w:rPr>
          <w:rFonts w:asciiTheme="majorHAnsi" w:eastAsia="仿宋" w:hAnsiTheme="majorHAnsi" w:cstheme="majorHAnsi"/>
          <w:u w:val="single"/>
        </w:rPr>
        <w:t>Fit RSRP delta CDF of LLS by Gaussian distribution</w:t>
      </w:r>
    </w:p>
    <w:p w14:paraId="09AF59AB"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lastRenderedPageBreak/>
        <w:t>Step 1: calculate RSRP delta between ideal RSRP and measured RSRP by LLS and plot CDF curve.</w:t>
      </w:r>
    </w:p>
    <w:p w14:paraId="270FA9CC"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Step 2: determine RSRP delta corresponding to 5% and 95%, which corresponding to the lower and upper limits of the 90% confidence interval. Suppose that the lower and upper limits for 5% and 95% points of CDF curve from LLS are </w:t>
      </w:r>
      <w:r w:rsidRPr="003A47A1">
        <w:rPr>
          <w:rFonts w:asciiTheme="majorHAnsi" w:hAnsiTheme="majorHAnsi"/>
          <w:i/>
          <w:iCs/>
          <w:szCs w:val="20"/>
        </w:rPr>
        <w:t>a</w:t>
      </w:r>
      <w:r w:rsidRPr="003A47A1">
        <w:rPr>
          <w:rFonts w:asciiTheme="majorHAnsi" w:hAnsiTheme="majorHAnsi"/>
          <w:szCs w:val="20"/>
        </w:rPr>
        <w:t xml:space="preserve"> and </w:t>
      </w:r>
      <w:r w:rsidRPr="003A47A1">
        <w:rPr>
          <w:rFonts w:asciiTheme="majorHAnsi" w:hAnsiTheme="majorHAnsi"/>
          <w:i/>
          <w:iCs/>
          <w:szCs w:val="20"/>
        </w:rPr>
        <w:t>b</w:t>
      </w:r>
      <w:r w:rsidRPr="003A47A1">
        <w:rPr>
          <w:rFonts w:asciiTheme="majorHAnsi" w:hAnsiTheme="majorHAnsi"/>
          <w:szCs w:val="20"/>
        </w:rPr>
        <w:t>.</w:t>
      </w:r>
    </w:p>
    <w:p w14:paraId="1EF1C53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Step 3: Calculate the standard deviation, </w:t>
      </w:r>
      <m:oMath>
        <m:r>
          <w:rPr>
            <w:rFonts w:ascii="Cambria Math" w:hAnsi="Cambria Math"/>
            <w:szCs w:val="20"/>
          </w:rPr>
          <m:t>σ</m:t>
        </m:r>
      </m:oMath>
      <w:r w:rsidRPr="003A47A1">
        <w:rPr>
          <w:rFonts w:asciiTheme="majorHAnsi" w:hAnsiTheme="majorHAnsi"/>
          <w:szCs w:val="20"/>
        </w:rPr>
        <w:t xml:space="preserve">, for Gaussian distribution. Where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0.95</m:t>
            </m:r>
          </m:sub>
        </m:sSub>
      </m:oMath>
      <w:r w:rsidRPr="003A47A1">
        <w:rPr>
          <w:rFonts w:asciiTheme="majorHAnsi" w:hAnsiTheme="majorHAnsi"/>
          <w:szCs w:val="20"/>
        </w:rPr>
        <w:t xml:space="preserve"> is the 95th percentile of the standard normal distribution, which is approximately 1.645.</w:t>
      </w:r>
    </w:p>
    <w:p w14:paraId="3C268041" w14:textId="77777777" w:rsidR="00A50502" w:rsidRPr="003A47A1" w:rsidRDefault="00A50502" w:rsidP="00A50502">
      <w:pPr>
        <w:spacing w:after="120"/>
        <w:rPr>
          <w:rFonts w:asciiTheme="majorHAnsi" w:hAnsiTheme="majorHAnsi"/>
          <w:szCs w:val="20"/>
        </w:rPr>
      </w:pPr>
      <m:oMathPara>
        <m:oMath>
          <m:r>
            <w:rPr>
              <w:rFonts w:ascii="Cambria Math" w:hAnsi="Cambria Math"/>
              <w:szCs w:val="20"/>
            </w:rPr>
            <m:t>σ=</m:t>
          </m:r>
          <m:f>
            <m:fPr>
              <m:ctrlPr>
                <w:rPr>
                  <w:rFonts w:ascii="Cambria Math" w:hAnsi="Cambria Math"/>
                  <w:i/>
                  <w:szCs w:val="20"/>
                </w:rPr>
              </m:ctrlPr>
            </m:fPr>
            <m:num>
              <m:r>
                <w:rPr>
                  <w:rFonts w:ascii="Cambria Math" w:hAnsi="Cambria Math"/>
                  <w:szCs w:val="20"/>
                </w:rPr>
                <m:t>b-a</m:t>
              </m:r>
            </m:num>
            <m:den>
              <m:r>
                <w:rPr>
                  <w:rFonts w:ascii="Cambria Math" w:hAnsi="Cambria Math"/>
                  <w:szCs w:val="20"/>
                </w:rPr>
                <m:t>2∙</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0.95</m:t>
                  </m:r>
                </m:sub>
              </m:sSub>
            </m:den>
          </m:f>
        </m:oMath>
      </m:oMathPara>
    </w:p>
    <w:p w14:paraId="2C1311D6" w14:textId="77777777" w:rsidR="00A50502" w:rsidRPr="003A47A1" w:rsidRDefault="00A50502" w:rsidP="00A50502">
      <w:pPr>
        <w:spacing w:beforeLines="50" w:before="120" w:after="120"/>
        <w:rPr>
          <w:rFonts w:asciiTheme="majorHAnsi" w:hAnsiTheme="majorHAnsi"/>
          <w:szCs w:val="20"/>
        </w:rPr>
      </w:pPr>
      <w:r w:rsidRPr="003A47A1">
        <w:rPr>
          <w:rFonts w:asciiTheme="majorHAnsi" w:hAnsiTheme="majorHAnsi"/>
          <w:szCs w:val="20"/>
        </w:rPr>
        <w:t xml:space="preserve">First, we derive the measured RSRP accuracy CDF for AWGN channel under SNR = -3dB obtained from LLS, where a = 1.4 and b = -1.4. then we also derive the measured RSRP accuracy CDF for TDL-C channel under SNR = -3dB obtained from LLS where a = -2.2 and b = 1.6. By step 3, </w:t>
      </w:r>
      <m:oMath>
        <m:r>
          <w:rPr>
            <w:rFonts w:ascii="Cambria Math" w:hAnsi="Cambria Math"/>
            <w:szCs w:val="20"/>
          </w:rPr>
          <m:t>σ=</m:t>
        </m:r>
      </m:oMath>
      <w:r w:rsidRPr="003A47A1">
        <w:rPr>
          <w:rFonts w:asciiTheme="majorHAnsi" w:hAnsiTheme="majorHAnsi"/>
          <w:szCs w:val="20"/>
        </w:rPr>
        <w:t xml:space="preserve">0.6245 for AWGN channel and </w:t>
      </w:r>
      <m:oMath>
        <m:r>
          <w:rPr>
            <w:rFonts w:ascii="Cambria Math" w:hAnsi="Cambria Math"/>
            <w:szCs w:val="20"/>
          </w:rPr>
          <m:t>σ=</m:t>
        </m:r>
      </m:oMath>
      <w:r w:rsidRPr="003A47A1">
        <w:rPr>
          <w:rFonts w:asciiTheme="majorHAnsi" w:hAnsiTheme="majorHAnsi"/>
          <w:szCs w:val="20"/>
        </w:rPr>
        <w:t xml:space="preserve"> 1.3341 for TDL-C.</w:t>
      </w:r>
    </w:p>
    <w:p w14:paraId="729FF88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Here, we plot the RSRP measurement delta CDF curve from LLS and the fitted curve by Gaussian distribution for AWGN and TDL-C in the following figure. It shows that Gaussian distribution can fit the measurement error models from LLS well.</w:t>
      </w:r>
    </w:p>
    <w:p w14:paraId="7E0D9526" w14:textId="77777777" w:rsidR="00A50502" w:rsidRPr="003A47A1" w:rsidRDefault="00A50502" w:rsidP="00A50502">
      <w:pPr>
        <w:spacing w:after="120"/>
        <w:jc w:val="center"/>
        <w:rPr>
          <w:rFonts w:asciiTheme="majorHAnsi" w:hAnsiTheme="majorHAnsi"/>
          <w:szCs w:val="20"/>
        </w:rPr>
      </w:pPr>
      <w:r w:rsidRPr="003A47A1">
        <w:rPr>
          <w:rFonts w:asciiTheme="majorHAnsi" w:hAnsiTheme="majorHAnsi"/>
          <w:noProof/>
        </w:rPr>
        <w:drawing>
          <wp:inline distT="0" distB="0" distL="0" distR="0" wp14:anchorId="59B287C6" wp14:editId="310F8D8C">
            <wp:extent cx="2014154" cy="1740783"/>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038792" cy="1762077"/>
                    </a:xfrm>
                    <a:prstGeom prst="rect">
                      <a:avLst/>
                    </a:prstGeom>
                  </pic:spPr>
                </pic:pic>
              </a:graphicData>
            </a:graphic>
          </wp:inline>
        </w:drawing>
      </w:r>
      <w:r w:rsidRPr="003A47A1">
        <w:rPr>
          <w:rFonts w:asciiTheme="majorHAnsi" w:hAnsiTheme="majorHAnsi"/>
          <w:szCs w:val="20"/>
        </w:rPr>
        <w:t xml:space="preserve">        </w:t>
      </w:r>
      <w:r w:rsidRPr="003A47A1">
        <w:rPr>
          <w:rFonts w:asciiTheme="majorHAnsi" w:hAnsiTheme="majorHAnsi"/>
          <w:noProof/>
        </w:rPr>
        <w:drawing>
          <wp:inline distT="0" distB="0" distL="0" distR="0" wp14:anchorId="3CB60CCD" wp14:editId="2F15DF41">
            <wp:extent cx="2141750" cy="171331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62022" cy="1729528"/>
                    </a:xfrm>
                    <a:prstGeom prst="rect">
                      <a:avLst/>
                    </a:prstGeom>
                  </pic:spPr>
                </pic:pic>
              </a:graphicData>
            </a:graphic>
          </wp:inline>
        </w:drawing>
      </w:r>
    </w:p>
    <w:p w14:paraId="6A1FD1CE" w14:textId="77777777" w:rsidR="00A50502" w:rsidRPr="003A47A1" w:rsidRDefault="00A50502" w:rsidP="00420833">
      <w:pPr>
        <w:pStyle w:val="a3"/>
        <w:numPr>
          <w:ilvl w:val="0"/>
          <w:numId w:val="8"/>
        </w:numPr>
        <w:spacing w:beforeLines="50" w:before="120" w:after="120"/>
        <w:rPr>
          <w:rFonts w:asciiTheme="majorHAnsi" w:eastAsia="仿宋" w:hAnsiTheme="majorHAnsi" w:cstheme="majorHAnsi"/>
        </w:rPr>
      </w:pPr>
      <w:r w:rsidRPr="003A47A1">
        <w:rPr>
          <w:rFonts w:asciiTheme="majorHAnsi" w:eastAsia="仿宋" w:hAnsiTheme="majorHAnsi" w:cstheme="majorHAnsi"/>
        </w:rPr>
        <w:t>AWGN                                (b) TDL-C</w:t>
      </w:r>
    </w:p>
    <w:p w14:paraId="61C0C78A" w14:textId="65E83FA3" w:rsidR="00A50502" w:rsidRPr="003A47A1" w:rsidRDefault="00A50502" w:rsidP="00A50502">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Fig.</w:t>
      </w:r>
      <w:r w:rsidR="00160F5B">
        <w:rPr>
          <w:rFonts w:asciiTheme="majorHAnsi" w:eastAsia="仿宋" w:hAnsiTheme="majorHAnsi" w:cstheme="majorHAnsi"/>
        </w:rPr>
        <w:t>1</w:t>
      </w:r>
      <w:r w:rsidRPr="003A47A1">
        <w:rPr>
          <w:rFonts w:asciiTheme="majorHAnsi" w:eastAsia="仿宋" w:hAnsiTheme="majorHAnsi" w:cstheme="majorHAnsi"/>
        </w:rPr>
        <w:t xml:space="preserve"> </w:t>
      </w:r>
      <w:r w:rsidRPr="003A47A1">
        <w:rPr>
          <w:rFonts w:asciiTheme="majorHAnsi" w:hAnsiTheme="majorHAnsi" w:cstheme="majorHAnsi"/>
        </w:rPr>
        <w:t>RSRP measurement delta CDF curve from LLS and fitted by Gaussian</w:t>
      </w:r>
    </w:p>
    <w:p w14:paraId="3BB3F51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Here, we also apply the different measurement error to different TX beams with different SNR conditions. Where measurement error is modeled as Gaussian distribution.</w:t>
      </w:r>
    </w:p>
    <w:p w14:paraId="01CD514A" w14:textId="41889B93" w:rsidR="00A50502"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 xml:space="preserve">.1 </w:t>
      </w:r>
      <w:r w:rsidRPr="00471C45">
        <w:rPr>
          <w:rFonts w:asciiTheme="majorHAnsi" w:hAnsiTheme="majorHAnsi" w:cstheme="majorHAnsi" w:hint="eastAsia"/>
          <w:sz w:val="24"/>
          <w:szCs w:val="24"/>
        </w:rPr>
        <w:t>B</w:t>
      </w:r>
      <w:r w:rsidRPr="00471C45">
        <w:rPr>
          <w:rFonts w:asciiTheme="majorHAnsi" w:hAnsiTheme="majorHAnsi" w:cstheme="majorHAnsi"/>
          <w:sz w:val="24"/>
          <w:szCs w:val="24"/>
        </w:rPr>
        <w:t>eam index prediction accuracy</w:t>
      </w:r>
    </w:p>
    <w:p w14:paraId="30C52A2C" w14:textId="089B758E" w:rsidR="00723D81" w:rsidRDefault="00723D81" w:rsidP="00723D81">
      <w:pPr>
        <w:spacing w:after="120"/>
        <w:rPr>
          <w:b/>
          <w:bCs/>
          <w:u w:val="single"/>
          <w:lang w:val="en-GB"/>
        </w:rPr>
      </w:pPr>
      <w:r w:rsidRPr="00723D81">
        <w:rPr>
          <w:b/>
          <w:bCs/>
          <w:u w:val="single"/>
          <w:lang w:val="en-GB"/>
        </w:rPr>
        <w:t>Measurement without error</w:t>
      </w:r>
    </w:p>
    <w:p w14:paraId="4EF97338" w14:textId="0FBC9396" w:rsidR="00723D81" w:rsidRPr="00723D81" w:rsidRDefault="00723D81" w:rsidP="00723D81">
      <w:pPr>
        <w:spacing w:after="120"/>
        <w:rPr>
          <w:b/>
          <w:bCs/>
          <w:u w:val="single"/>
          <w:lang w:val="en-GB"/>
        </w:rPr>
      </w:pPr>
      <w:r>
        <w:rPr>
          <w:rFonts w:ascii="Segoe UI" w:hAnsi="Segoe UI" w:cs="Segoe UI"/>
          <w:color w:val="1C1F23"/>
          <w:shd w:val="clear" w:color="auto" w:fill="FFFFFF"/>
        </w:rPr>
        <w:t>At the last meeting, many companies submitted their simulation results. However, even in the absence of errors, everyone's simulation results were not very consistent. Therefore, to identify the reasons for the inconsistency, the first step is to simulate and find out what the accuracy is under the condition of no errors.</w:t>
      </w:r>
    </w:p>
    <w:p w14:paraId="198F56AD" w14:textId="115A01B2" w:rsidR="00723D81" w:rsidRPr="00723D81" w:rsidRDefault="00723D81" w:rsidP="00A50502">
      <w:pPr>
        <w:spacing w:after="120"/>
        <w:rPr>
          <w:rFonts w:asciiTheme="majorHAnsi" w:hAnsiTheme="majorHAnsi"/>
          <w:b/>
          <w:bCs/>
          <w:szCs w:val="20"/>
        </w:rPr>
      </w:pPr>
      <w:r w:rsidRPr="00723D81">
        <w:rPr>
          <w:rFonts w:asciiTheme="majorHAnsi" w:hAnsiTheme="majorHAnsi" w:hint="eastAsia"/>
          <w:b/>
          <w:bCs/>
          <w:szCs w:val="20"/>
        </w:rPr>
        <w:t>P</w:t>
      </w:r>
      <w:r w:rsidRPr="00723D81">
        <w:rPr>
          <w:rFonts w:asciiTheme="majorHAnsi" w:hAnsiTheme="majorHAnsi"/>
          <w:b/>
          <w:bCs/>
          <w:szCs w:val="20"/>
        </w:rPr>
        <w:t>roposal 4: RAN4 to align simulation results without measurement error first.</w:t>
      </w:r>
    </w:p>
    <w:p w14:paraId="3CB43BA1" w14:textId="48F92864" w:rsidR="00A50502" w:rsidRDefault="00A50502" w:rsidP="00A50502">
      <w:pPr>
        <w:spacing w:after="120"/>
        <w:rPr>
          <w:rFonts w:asciiTheme="majorHAnsi" w:hAnsiTheme="majorHAnsi"/>
          <w:szCs w:val="20"/>
        </w:rPr>
      </w:pPr>
      <w:r w:rsidRPr="003A47A1">
        <w:rPr>
          <w:rFonts w:asciiTheme="majorHAnsi" w:hAnsiTheme="majorHAnsi"/>
          <w:szCs w:val="20"/>
        </w:rPr>
        <w:t>The predication accuracy for all UE with largest SNR higher than -3dB is as below:</w:t>
      </w:r>
    </w:p>
    <w:p w14:paraId="69606EB9" w14:textId="77777777" w:rsidR="00A50502" w:rsidRPr="00320AEF" w:rsidRDefault="00A50502" w:rsidP="00A50502">
      <w:pPr>
        <w:spacing w:after="120"/>
        <w:rPr>
          <w:rFonts w:asciiTheme="majorHAnsi" w:hAnsiTheme="majorHAnsi"/>
          <w:b/>
          <w:bCs/>
          <w:szCs w:val="20"/>
          <w:u w:val="single"/>
        </w:rPr>
      </w:pPr>
      <w:r w:rsidRPr="00320AEF">
        <w:rPr>
          <w:rFonts w:asciiTheme="majorHAnsi" w:hAnsiTheme="majorHAnsi"/>
          <w:b/>
          <w:bCs/>
          <w:szCs w:val="20"/>
          <w:u w:val="single"/>
        </w:rPr>
        <w:t>X = 0dB</w:t>
      </w:r>
    </w:p>
    <w:p w14:paraId="33849AE1" w14:textId="77777777" w:rsidR="00A50502" w:rsidRPr="003A47A1" w:rsidRDefault="00A50502" w:rsidP="00A50502">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 xml:space="preserve">Table 1: Beam index prediction accuracy % (UEs with Highest SNR &gt;=-3dB) </w:t>
      </w:r>
    </w:p>
    <w:tbl>
      <w:tblPr>
        <w:tblStyle w:val="ad"/>
        <w:tblW w:w="0" w:type="auto"/>
        <w:tblLook w:val="04A0" w:firstRow="1" w:lastRow="0" w:firstColumn="1" w:lastColumn="0" w:noHBand="0" w:noVBand="1"/>
      </w:tblPr>
      <w:tblGrid>
        <w:gridCol w:w="1487"/>
        <w:gridCol w:w="1401"/>
        <w:gridCol w:w="1294"/>
        <w:gridCol w:w="1401"/>
        <w:gridCol w:w="1316"/>
        <w:gridCol w:w="1405"/>
        <w:gridCol w:w="1324"/>
      </w:tblGrid>
      <w:tr w:rsidR="00A50502" w:rsidRPr="003A47A1" w14:paraId="143ABE31" w14:textId="77777777" w:rsidTr="007E215B">
        <w:trPr>
          <w:trHeight w:val="585"/>
        </w:trPr>
        <w:tc>
          <w:tcPr>
            <w:tcW w:w="1487" w:type="dxa"/>
          </w:tcPr>
          <w:p w14:paraId="01368441" w14:textId="77777777" w:rsidR="00A50502" w:rsidRPr="003A47A1" w:rsidRDefault="00A50502" w:rsidP="007E215B">
            <w:pPr>
              <w:pStyle w:val="a3"/>
              <w:spacing w:beforeLines="50" w:before="120" w:after="120"/>
              <w:rPr>
                <w:rFonts w:asciiTheme="majorHAnsi" w:eastAsia="仿宋" w:hAnsiTheme="majorHAnsi" w:cstheme="majorHAnsi"/>
                <w:u w:val="single"/>
              </w:rPr>
            </w:pPr>
          </w:p>
        </w:tc>
        <w:tc>
          <w:tcPr>
            <w:tcW w:w="1401" w:type="dxa"/>
          </w:tcPr>
          <w:p w14:paraId="237C754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Top-1/1 </w:t>
            </w:r>
          </w:p>
        </w:tc>
        <w:tc>
          <w:tcPr>
            <w:tcW w:w="1294" w:type="dxa"/>
          </w:tcPr>
          <w:p w14:paraId="78ABD91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Top-1/2 </w:t>
            </w:r>
          </w:p>
        </w:tc>
        <w:tc>
          <w:tcPr>
            <w:tcW w:w="1401" w:type="dxa"/>
          </w:tcPr>
          <w:p w14:paraId="73B44AD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Top-2/1 </w:t>
            </w:r>
          </w:p>
        </w:tc>
        <w:tc>
          <w:tcPr>
            <w:tcW w:w="1316" w:type="dxa"/>
          </w:tcPr>
          <w:p w14:paraId="66A7151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Top-2/2 </w:t>
            </w:r>
          </w:p>
        </w:tc>
        <w:tc>
          <w:tcPr>
            <w:tcW w:w="1405" w:type="dxa"/>
          </w:tcPr>
          <w:p w14:paraId="32E19D4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324" w:type="dxa"/>
          </w:tcPr>
          <w:p w14:paraId="145B78E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 4/2 </w:t>
            </w:r>
          </w:p>
        </w:tc>
      </w:tr>
      <w:tr w:rsidR="00A50502" w:rsidRPr="003A47A1" w14:paraId="291616C7" w14:textId="77777777" w:rsidTr="007E215B">
        <w:trPr>
          <w:trHeight w:val="585"/>
        </w:trPr>
        <w:tc>
          <w:tcPr>
            <w:tcW w:w="1487" w:type="dxa"/>
          </w:tcPr>
          <w:p w14:paraId="2C9F2A1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No error</w:t>
            </w:r>
          </w:p>
        </w:tc>
        <w:tc>
          <w:tcPr>
            <w:tcW w:w="1401" w:type="dxa"/>
          </w:tcPr>
          <w:p w14:paraId="711E17A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66.39</w:t>
            </w:r>
          </w:p>
        </w:tc>
        <w:tc>
          <w:tcPr>
            <w:tcW w:w="1294" w:type="dxa"/>
          </w:tcPr>
          <w:p w14:paraId="2A7E726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94.54</w:t>
            </w:r>
          </w:p>
        </w:tc>
        <w:tc>
          <w:tcPr>
            <w:tcW w:w="1401" w:type="dxa"/>
          </w:tcPr>
          <w:p w14:paraId="4FF8BD1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88.35</w:t>
            </w:r>
          </w:p>
        </w:tc>
        <w:tc>
          <w:tcPr>
            <w:tcW w:w="1316" w:type="dxa"/>
          </w:tcPr>
          <w:p w14:paraId="147B71C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98.50</w:t>
            </w:r>
          </w:p>
        </w:tc>
        <w:tc>
          <w:tcPr>
            <w:tcW w:w="1405" w:type="dxa"/>
          </w:tcPr>
          <w:p w14:paraId="5EC999C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97.85</w:t>
            </w:r>
          </w:p>
        </w:tc>
        <w:tc>
          <w:tcPr>
            <w:tcW w:w="1324" w:type="dxa"/>
          </w:tcPr>
          <w:p w14:paraId="771CDB4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98.12</w:t>
            </w:r>
          </w:p>
        </w:tc>
      </w:tr>
      <w:tr w:rsidR="00A50502" w:rsidRPr="003A47A1" w14:paraId="5D468531" w14:textId="77777777" w:rsidTr="007E215B">
        <w:trPr>
          <w:trHeight w:val="585"/>
        </w:trPr>
        <w:tc>
          <w:tcPr>
            <w:tcW w:w="1487" w:type="dxa"/>
          </w:tcPr>
          <w:p w14:paraId="4F74A93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401" w:type="dxa"/>
          </w:tcPr>
          <w:p w14:paraId="498D2D9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68.34</w:t>
            </w:r>
          </w:p>
        </w:tc>
        <w:tc>
          <w:tcPr>
            <w:tcW w:w="1294" w:type="dxa"/>
          </w:tcPr>
          <w:p w14:paraId="481A44E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94.38</w:t>
            </w:r>
          </w:p>
        </w:tc>
        <w:tc>
          <w:tcPr>
            <w:tcW w:w="1401" w:type="dxa"/>
          </w:tcPr>
          <w:p w14:paraId="32D15BD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88.32</w:t>
            </w:r>
          </w:p>
        </w:tc>
        <w:tc>
          <w:tcPr>
            <w:tcW w:w="1316" w:type="dxa"/>
          </w:tcPr>
          <w:p w14:paraId="24BCCA0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98.45</w:t>
            </w:r>
          </w:p>
        </w:tc>
        <w:tc>
          <w:tcPr>
            <w:tcW w:w="1405" w:type="dxa"/>
          </w:tcPr>
          <w:p w14:paraId="799F4B9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97.21</w:t>
            </w:r>
          </w:p>
        </w:tc>
        <w:tc>
          <w:tcPr>
            <w:tcW w:w="1324" w:type="dxa"/>
          </w:tcPr>
          <w:p w14:paraId="6F2443B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98.04</w:t>
            </w:r>
          </w:p>
        </w:tc>
      </w:tr>
      <w:tr w:rsidR="00A50502" w:rsidRPr="003A47A1" w14:paraId="788A5E62" w14:textId="77777777" w:rsidTr="007E215B">
        <w:trPr>
          <w:trHeight w:val="585"/>
        </w:trPr>
        <w:tc>
          <w:tcPr>
            <w:tcW w:w="1487" w:type="dxa"/>
          </w:tcPr>
          <w:p w14:paraId="75708E2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401" w:type="dxa"/>
          </w:tcPr>
          <w:p w14:paraId="7A0B4B5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49.25</w:t>
            </w:r>
          </w:p>
        </w:tc>
        <w:tc>
          <w:tcPr>
            <w:tcW w:w="1294" w:type="dxa"/>
          </w:tcPr>
          <w:p w14:paraId="1E55E6C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69.84</w:t>
            </w:r>
          </w:p>
        </w:tc>
        <w:tc>
          <w:tcPr>
            <w:tcW w:w="1401" w:type="dxa"/>
          </w:tcPr>
          <w:p w14:paraId="6084281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66.45</w:t>
            </w:r>
          </w:p>
        </w:tc>
        <w:tc>
          <w:tcPr>
            <w:tcW w:w="1316" w:type="dxa"/>
          </w:tcPr>
          <w:p w14:paraId="4903614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78.80</w:t>
            </w:r>
          </w:p>
        </w:tc>
        <w:tc>
          <w:tcPr>
            <w:tcW w:w="1405" w:type="dxa"/>
          </w:tcPr>
          <w:p w14:paraId="21B8005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86.79</w:t>
            </w:r>
          </w:p>
        </w:tc>
        <w:tc>
          <w:tcPr>
            <w:tcW w:w="1324" w:type="dxa"/>
          </w:tcPr>
          <w:p w14:paraId="2AF0F24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92.35</w:t>
            </w:r>
          </w:p>
        </w:tc>
      </w:tr>
      <w:tr w:rsidR="00A50502" w:rsidRPr="003A47A1" w14:paraId="4B25D8D9" w14:textId="77777777" w:rsidTr="007E215B">
        <w:trPr>
          <w:trHeight w:val="585"/>
        </w:trPr>
        <w:tc>
          <w:tcPr>
            <w:tcW w:w="1487" w:type="dxa"/>
          </w:tcPr>
          <w:p w14:paraId="6F53CD5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lastRenderedPageBreak/>
              <w:t>RF+BB</w:t>
            </w:r>
          </w:p>
        </w:tc>
        <w:tc>
          <w:tcPr>
            <w:tcW w:w="1401" w:type="dxa"/>
          </w:tcPr>
          <w:p w14:paraId="7CF9404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45.68</w:t>
            </w:r>
          </w:p>
        </w:tc>
        <w:tc>
          <w:tcPr>
            <w:tcW w:w="1294" w:type="dxa"/>
          </w:tcPr>
          <w:p w14:paraId="012383C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66.60</w:t>
            </w:r>
          </w:p>
        </w:tc>
        <w:tc>
          <w:tcPr>
            <w:tcW w:w="1401" w:type="dxa"/>
          </w:tcPr>
          <w:p w14:paraId="4A83A57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65.76</w:t>
            </w:r>
          </w:p>
        </w:tc>
        <w:tc>
          <w:tcPr>
            <w:tcW w:w="1316" w:type="dxa"/>
          </w:tcPr>
          <w:p w14:paraId="376E975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77.64</w:t>
            </w:r>
          </w:p>
        </w:tc>
        <w:tc>
          <w:tcPr>
            <w:tcW w:w="1405" w:type="dxa"/>
          </w:tcPr>
          <w:p w14:paraId="28B1189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83.17</w:t>
            </w:r>
          </w:p>
        </w:tc>
        <w:tc>
          <w:tcPr>
            <w:tcW w:w="1324" w:type="dxa"/>
          </w:tcPr>
          <w:p w14:paraId="2D08F18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91.27</w:t>
            </w:r>
          </w:p>
        </w:tc>
      </w:tr>
    </w:tbl>
    <w:p w14:paraId="05FCE7C2" w14:textId="77777777" w:rsidR="00A50502" w:rsidRPr="00471C45" w:rsidRDefault="00A50502" w:rsidP="00A50502">
      <w:pPr>
        <w:spacing w:beforeLines="100" w:before="240" w:afterLines="100" w:after="240"/>
        <w:rPr>
          <w:rFonts w:asciiTheme="majorHAnsi" w:hAnsiTheme="majorHAnsi"/>
          <w:b/>
          <w:bCs/>
          <w:szCs w:val="20"/>
          <w:u w:val="single"/>
        </w:rPr>
      </w:pPr>
      <w:r w:rsidRPr="00471C45">
        <w:rPr>
          <w:rFonts w:asciiTheme="majorHAnsi" w:hAnsiTheme="majorHAnsi" w:hint="eastAsia"/>
          <w:b/>
          <w:bCs/>
          <w:szCs w:val="20"/>
          <w:u w:val="single"/>
        </w:rPr>
        <w:t>X</w:t>
      </w:r>
      <w:r w:rsidRPr="00471C45">
        <w:rPr>
          <w:rFonts w:asciiTheme="majorHAnsi" w:hAnsiTheme="majorHAnsi"/>
          <w:b/>
          <w:bCs/>
          <w:szCs w:val="20"/>
          <w:u w:val="single"/>
        </w:rPr>
        <w:t xml:space="preserve"> = 1dB</w:t>
      </w:r>
    </w:p>
    <w:p w14:paraId="5253B8AB" w14:textId="77777777" w:rsidR="00A50502" w:rsidRPr="003A47A1" w:rsidRDefault="00A50502" w:rsidP="00A50502">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                  Table 2: Beam index prediction accuracy with X=1 dB % (UEs with Highest SNR &gt;=-3dB)</w:t>
      </w:r>
    </w:p>
    <w:tbl>
      <w:tblPr>
        <w:tblStyle w:val="ad"/>
        <w:tblW w:w="0" w:type="auto"/>
        <w:jc w:val="center"/>
        <w:tblLook w:val="04A0" w:firstRow="1" w:lastRow="0" w:firstColumn="1" w:lastColumn="0" w:noHBand="0" w:noVBand="1"/>
      </w:tblPr>
      <w:tblGrid>
        <w:gridCol w:w="1974"/>
        <w:gridCol w:w="1954"/>
        <w:gridCol w:w="1954"/>
        <w:gridCol w:w="1943"/>
        <w:gridCol w:w="1803"/>
      </w:tblGrid>
      <w:tr w:rsidR="00A50502" w:rsidRPr="003A47A1" w14:paraId="082C29BF" w14:textId="77777777" w:rsidTr="007E215B">
        <w:trPr>
          <w:jc w:val="center"/>
        </w:trPr>
        <w:tc>
          <w:tcPr>
            <w:tcW w:w="1974" w:type="dxa"/>
          </w:tcPr>
          <w:p w14:paraId="70E064FD" w14:textId="77777777" w:rsidR="00A50502" w:rsidRPr="003A47A1" w:rsidRDefault="00A50502" w:rsidP="007E215B">
            <w:pPr>
              <w:pStyle w:val="a3"/>
              <w:spacing w:beforeLines="50" w:before="120" w:after="120"/>
              <w:rPr>
                <w:rFonts w:asciiTheme="majorHAnsi" w:eastAsia="仿宋" w:hAnsiTheme="majorHAnsi" w:cstheme="majorHAnsi"/>
              </w:rPr>
            </w:pPr>
          </w:p>
        </w:tc>
        <w:tc>
          <w:tcPr>
            <w:tcW w:w="1954" w:type="dxa"/>
          </w:tcPr>
          <w:p w14:paraId="6B8F3B3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Top-1</w:t>
            </w:r>
            <w:r>
              <w:rPr>
                <w:rFonts w:asciiTheme="majorHAnsi" w:eastAsia="仿宋" w:hAnsiTheme="majorHAnsi" w:cstheme="majorHAnsi" w:hint="eastAsia"/>
              </w:rPr>
              <w:t>/</w:t>
            </w:r>
            <w:r>
              <w:rPr>
                <w:rFonts w:asciiTheme="majorHAnsi" w:eastAsia="仿宋" w:hAnsiTheme="majorHAnsi" w:cstheme="majorHAnsi"/>
              </w:rPr>
              <w:t>1</w:t>
            </w:r>
          </w:p>
        </w:tc>
        <w:tc>
          <w:tcPr>
            <w:tcW w:w="1954" w:type="dxa"/>
          </w:tcPr>
          <w:p w14:paraId="70DE954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Top-2</w:t>
            </w:r>
            <w:r>
              <w:rPr>
                <w:rFonts w:asciiTheme="majorHAnsi" w:eastAsia="仿宋" w:hAnsiTheme="majorHAnsi" w:cstheme="majorHAnsi"/>
              </w:rPr>
              <w:t>/1</w:t>
            </w:r>
          </w:p>
        </w:tc>
        <w:tc>
          <w:tcPr>
            <w:tcW w:w="1943" w:type="dxa"/>
          </w:tcPr>
          <w:p w14:paraId="261098F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803" w:type="dxa"/>
          </w:tcPr>
          <w:p w14:paraId="65C9C23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 4/2</w:t>
            </w:r>
          </w:p>
        </w:tc>
      </w:tr>
      <w:tr w:rsidR="00A50502" w:rsidRPr="003A47A1" w14:paraId="79310EF3" w14:textId="77777777" w:rsidTr="007E215B">
        <w:trPr>
          <w:jc w:val="center"/>
        </w:trPr>
        <w:tc>
          <w:tcPr>
            <w:tcW w:w="1974" w:type="dxa"/>
          </w:tcPr>
          <w:p w14:paraId="214A4A9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954" w:type="dxa"/>
          </w:tcPr>
          <w:p w14:paraId="3A1C8AA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75</w:t>
            </w:r>
          </w:p>
        </w:tc>
        <w:tc>
          <w:tcPr>
            <w:tcW w:w="1954" w:type="dxa"/>
          </w:tcPr>
          <w:p w14:paraId="73FEFB0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85.86</w:t>
            </w:r>
          </w:p>
        </w:tc>
        <w:tc>
          <w:tcPr>
            <w:tcW w:w="1943" w:type="dxa"/>
          </w:tcPr>
          <w:p w14:paraId="17F24D9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89.80</w:t>
            </w:r>
          </w:p>
        </w:tc>
        <w:tc>
          <w:tcPr>
            <w:tcW w:w="1803" w:type="dxa"/>
          </w:tcPr>
          <w:p w14:paraId="4598278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93.15</w:t>
            </w:r>
          </w:p>
        </w:tc>
      </w:tr>
      <w:tr w:rsidR="00A50502" w:rsidRPr="003A47A1" w14:paraId="60A697D3" w14:textId="77777777" w:rsidTr="007E215B">
        <w:trPr>
          <w:jc w:val="center"/>
        </w:trPr>
        <w:tc>
          <w:tcPr>
            <w:tcW w:w="1974" w:type="dxa"/>
          </w:tcPr>
          <w:p w14:paraId="6A17873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954" w:type="dxa"/>
          </w:tcPr>
          <w:p w14:paraId="23AB74C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7618</w:t>
            </w:r>
          </w:p>
        </w:tc>
        <w:tc>
          <w:tcPr>
            <w:tcW w:w="1954" w:type="dxa"/>
          </w:tcPr>
          <w:p w14:paraId="03AC567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85.64</w:t>
            </w:r>
          </w:p>
        </w:tc>
        <w:tc>
          <w:tcPr>
            <w:tcW w:w="1943" w:type="dxa"/>
          </w:tcPr>
          <w:p w14:paraId="057E722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90.21</w:t>
            </w:r>
          </w:p>
        </w:tc>
        <w:tc>
          <w:tcPr>
            <w:tcW w:w="1803" w:type="dxa"/>
          </w:tcPr>
          <w:p w14:paraId="5EEDB78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94.08</w:t>
            </w:r>
          </w:p>
        </w:tc>
      </w:tr>
      <w:tr w:rsidR="00A50502" w:rsidRPr="003A47A1" w14:paraId="434C95E4" w14:textId="77777777" w:rsidTr="007E215B">
        <w:trPr>
          <w:jc w:val="center"/>
        </w:trPr>
        <w:tc>
          <w:tcPr>
            <w:tcW w:w="1974" w:type="dxa"/>
          </w:tcPr>
          <w:p w14:paraId="721B551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954" w:type="dxa"/>
          </w:tcPr>
          <w:p w14:paraId="1D9B37B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76.26</w:t>
            </w:r>
          </w:p>
        </w:tc>
        <w:tc>
          <w:tcPr>
            <w:tcW w:w="1954" w:type="dxa"/>
          </w:tcPr>
          <w:p w14:paraId="66B5D09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84.42</w:t>
            </w:r>
          </w:p>
        </w:tc>
        <w:tc>
          <w:tcPr>
            <w:tcW w:w="1943" w:type="dxa"/>
          </w:tcPr>
          <w:p w14:paraId="680FC13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85.91</w:t>
            </w:r>
          </w:p>
        </w:tc>
        <w:tc>
          <w:tcPr>
            <w:tcW w:w="1803" w:type="dxa"/>
          </w:tcPr>
          <w:p w14:paraId="3F733F3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92.58</w:t>
            </w:r>
          </w:p>
        </w:tc>
      </w:tr>
    </w:tbl>
    <w:p w14:paraId="6C1F2A29" w14:textId="39E50C34" w:rsidR="00A50502" w:rsidRPr="00471C45"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.2 RSRP</w:t>
      </w:r>
      <w:r w:rsidRPr="00471C45">
        <w:rPr>
          <w:rFonts w:asciiTheme="majorHAnsi" w:hAnsiTheme="majorHAnsi" w:cstheme="majorHAnsi"/>
          <w:sz w:val="24"/>
          <w:szCs w:val="24"/>
        </w:rPr>
        <w:t xml:space="preserve"> prediction accuracy</w:t>
      </w:r>
    </w:p>
    <w:p w14:paraId="02A15B0A" w14:textId="77777777" w:rsidR="00A50502" w:rsidRPr="00053C02" w:rsidRDefault="00A50502" w:rsidP="00A50502">
      <w:pPr>
        <w:pStyle w:val="a3"/>
        <w:spacing w:beforeLines="50" w:before="120" w:after="120"/>
        <w:rPr>
          <w:rFonts w:asciiTheme="majorHAnsi" w:eastAsia="仿宋" w:hAnsiTheme="majorHAnsi" w:cstheme="majorHAnsi"/>
        </w:rPr>
      </w:pPr>
      <w:r w:rsidRPr="00053C02">
        <w:rPr>
          <w:rFonts w:asciiTheme="majorHAnsi" w:eastAsia="仿宋" w:hAnsiTheme="majorHAnsi" w:cstheme="majorHAnsi" w:hint="eastAsia"/>
        </w:rPr>
        <w:t>T</w:t>
      </w:r>
      <w:r w:rsidRPr="00053C02">
        <w:rPr>
          <w:rFonts w:asciiTheme="majorHAnsi" w:eastAsia="仿宋" w:hAnsiTheme="majorHAnsi" w:cstheme="majorHAnsi"/>
        </w:rPr>
        <w:t xml:space="preserve">he </w:t>
      </w:r>
      <w:r>
        <w:rPr>
          <w:rFonts w:asciiTheme="majorHAnsi" w:eastAsia="仿宋" w:hAnsiTheme="majorHAnsi" w:cstheme="majorHAnsi"/>
        </w:rPr>
        <w:t xml:space="preserve">absolute RSRP prediction accuracy is as below: </w:t>
      </w:r>
    </w:p>
    <w:p w14:paraId="032E30BB" w14:textId="77777777" w:rsidR="00A50502" w:rsidRPr="003A47A1" w:rsidRDefault="00A50502" w:rsidP="00A50502">
      <w:pPr>
        <w:pStyle w:val="a3"/>
        <w:spacing w:beforeLines="50" w:before="120" w:after="120"/>
        <w:jc w:val="center"/>
        <w:rPr>
          <w:rFonts w:asciiTheme="majorHAnsi" w:eastAsia="仿宋" w:hAnsiTheme="majorHAnsi" w:cstheme="majorHAnsi"/>
          <w:u w:val="single"/>
        </w:rPr>
      </w:pPr>
      <w:r w:rsidRPr="003A47A1">
        <w:rPr>
          <w:rFonts w:asciiTheme="majorHAnsi" w:eastAsia="仿宋" w:hAnsiTheme="majorHAnsi" w:cstheme="majorHAnsi"/>
        </w:rPr>
        <w:t>Table 3: RSRP accuracy, dB(UEs with Highest SNR &gt;=-3dB)</w:t>
      </w:r>
    </w:p>
    <w:tbl>
      <w:tblPr>
        <w:tblStyle w:val="ad"/>
        <w:tblW w:w="0" w:type="auto"/>
        <w:jc w:val="center"/>
        <w:tblLook w:val="04A0" w:firstRow="1" w:lastRow="0" w:firstColumn="1" w:lastColumn="0" w:noHBand="0" w:noVBand="1"/>
      </w:tblPr>
      <w:tblGrid>
        <w:gridCol w:w="1974"/>
        <w:gridCol w:w="1954"/>
        <w:gridCol w:w="1954"/>
      </w:tblGrid>
      <w:tr w:rsidR="00A50502" w:rsidRPr="003A47A1" w14:paraId="7CFA69DD" w14:textId="77777777" w:rsidTr="007E215B">
        <w:trPr>
          <w:jc w:val="center"/>
        </w:trPr>
        <w:tc>
          <w:tcPr>
            <w:tcW w:w="1974" w:type="dxa"/>
          </w:tcPr>
          <w:p w14:paraId="1E101BDA" w14:textId="77777777" w:rsidR="00A50502" w:rsidRPr="003A47A1" w:rsidRDefault="00A50502" w:rsidP="007E215B">
            <w:pPr>
              <w:pStyle w:val="a3"/>
              <w:spacing w:beforeLines="50" w:before="120" w:after="120"/>
              <w:rPr>
                <w:rFonts w:asciiTheme="majorHAnsi" w:eastAsia="仿宋" w:hAnsiTheme="majorHAnsi" w:cstheme="majorHAnsi"/>
                <w:u w:val="single"/>
              </w:rPr>
            </w:pPr>
          </w:p>
        </w:tc>
        <w:tc>
          <w:tcPr>
            <w:tcW w:w="1954" w:type="dxa"/>
          </w:tcPr>
          <w:p w14:paraId="6B09413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 </w:t>
            </w:r>
          </w:p>
        </w:tc>
        <w:tc>
          <w:tcPr>
            <w:tcW w:w="1954" w:type="dxa"/>
          </w:tcPr>
          <w:p w14:paraId="5D18016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Top-3 </w:t>
            </w:r>
          </w:p>
        </w:tc>
      </w:tr>
      <w:tr w:rsidR="00A50502" w:rsidRPr="003A47A1" w14:paraId="3CB4852C" w14:textId="77777777" w:rsidTr="007E215B">
        <w:trPr>
          <w:jc w:val="center"/>
        </w:trPr>
        <w:tc>
          <w:tcPr>
            <w:tcW w:w="1974" w:type="dxa"/>
          </w:tcPr>
          <w:p w14:paraId="2DBC2BE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954" w:type="dxa"/>
          </w:tcPr>
          <w:p w14:paraId="26EC6CD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7.71</w:t>
            </w:r>
          </w:p>
        </w:tc>
        <w:tc>
          <w:tcPr>
            <w:tcW w:w="1954" w:type="dxa"/>
          </w:tcPr>
          <w:p w14:paraId="5717877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7.12</w:t>
            </w:r>
          </w:p>
        </w:tc>
      </w:tr>
      <w:tr w:rsidR="00A50502" w:rsidRPr="003A47A1" w14:paraId="1A6E62D5" w14:textId="77777777" w:rsidTr="007E215B">
        <w:trPr>
          <w:jc w:val="center"/>
        </w:trPr>
        <w:tc>
          <w:tcPr>
            <w:tcW w:w="1974" w:type="dxa"/>
          </w:tcPr>
          <w:p w14:paraId="7465B18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954" w:type="dxa"/>
          </w:tcPr>
          <w:p w14:paraId="7C57E83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3.54</w:t>
            </w:r>
          </w:p>
        </w:tc>
        <w:tc>
          <w:tcPr>
            <w:tcW w:w="1954" w:type="dxa"/>
          </w:tcPr>
          <w:p w14:paraId="5373BED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3.66</w:t>
            </w:r>
          </w:p>
        </w:tc>
      </w:tr>
      <w:tr w:rsidR="00A50502" w:rsidRPr="003A47A1" w14:paraId="15CA56C2" w14:textId="77777777" w:rsidTr="007E215B">
        <w:trPr>
          <w:jc w:val="center"/>
        </w:trPr>
        <w:tc>
          <w:tcPr>
            <w:tcW w:w="1974" w:type="dxa"/>
          </w:tcPr>
          <w:p w14:paraId="17D2357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954" w:type="dxa"/>
          </w:tcPr>
          <w:p w14:paraId="765AA10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8.23</w:t>
            </w:r>
          </w:p>
        </w:tc>
        <w:tc>
          <w:tcPr>
            <w:tcW w:w="1954" w:type="dxa"/>
          </w:tcPr>
          <w:p w14:paraId="0DE142B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7.72</w:t>
            </w:r>
          </w:p>
        </w:tc>
      </w:tr>
    </w:tbl>
    <w:p w14:paraId="0E6EFAE4" w14:textId="77777777" w:rsidR="00A50502" w:rsidRPr="003A47A1" w:rsidRDefault="00A50502" w:rsidP="00A50502">
      <w:pPr>
        <w:spacing w:after="120"/>
        <w:rPr>
          <w:rFonts w:asciiTheme="majorHAnsi" w:hAnsiTheme="majorHAnsi"/>
          <w:b/>
          <w:bCs/>
          <w:szCs w:val="20"/>
        </w:rPr>
      </w:pPr>
    </w:p>
    <w:p w14:paraId="529BA8F6" w14:textId="0425FDF2" w:rsidR="00A50502"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 xml:space="preserve">.3 </w:t>
      </w:r>
      <w:r w:rsidRPr="00E53E83">
        <w:rPr>
          <w:rFonts w:asciiTheme="majorHAnsi" w:hAnsiTheme="majorHAnsi" w:cstheme="majorHAnsi"/>
          <w:sz w:val="24"/>
          <w:szCs w:val="24"/>
        </w:rPr>
        <w:t>Factors Impacting Simulation Result Alignment</w:t>
      </w:r>
    </w:p>
    <w:p w14:paraId="38ADBEAF" w14:textId="77777777" w:rsidR="00A50502" w:rsidRPr="00C50B72" w:rsidRDefault="00A50502" w:rsidP="00A50502">
      <w:pPr>
        <w:spacing w:after="120"/>
        <w:rPr>
          <w:rFonts w:cstheme="minorHAnsi"/>
          <w:lang w:val="en-GB"/>
        </w:rPr>
      </w:pPr>
      <w:r w:rsidRPr="00C50B72">
        <w:rPr>
          <w:rFonts w:cstheme="minorHAnsi"/>
          <w:lang w:val="en-GB"/>
        </w:rPr>
        <w:t xml:space="preserve">There are </w:t>
      </w:r>
      <w:r>
        <w:rPr>
          <w:rFonts w:cstheme="minorHAnsi"/>
          <w:lang w:val="en-GB"/>
        </w:rPr>
        <w:t>several factors may have impact on the simulation result:</w:t>
      </w:r>
    </w:p>
    <w:p w14:paraId="7C7906D4" w14:textId="77777777" w:rsidR="00A50502" w:rsidRPr="00A44169" w:rsidRDefault="00A50502" w:rsidP="00420833">
      <w:pPr>
        <w:pStyle w:val="ab"/>
        <w:numPr>
          <w:ilvl w:val="3"/>
          <w:numId w:val="2"/>
        </w:numPr>
        <w:spacing w:beforeLines="100" w:before="240" w:afterLines="100" w:after="240"/>
        <w:ind w:firstLineChars="0"/>
        <w:rPr>
          <w:u w:val="single"/>
        </w:rPr>
      </w:pPr>
      <w:r w:rsidRPr="00A44169">
        <w:rPr>
          <w:u w:val="single"/>
        </w:rPr>
        <w:t>Method of Adding Measurement Error for Different TX Beams</w:t>
      </w:r>
    </w:p>
    <w:p w14:paraId="4A07E94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Currently, there are two methods to add error for BB:</w:t>
      </w:r>
    </w:p>
    <w:p w14:paraId="2C8C2E5E"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Option 1: Apply the error distribution from the post-beamforming SNR of the strongest Tx-Rx beam pair to all Tx-Rx beam pairs in the SLS.</w:t>
      </w:r>
    </w:p>
    <w:p w14:paraId="18DB982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Option 2: Generate an error distribution separately for each individual Tx-Rx beam pair’s SNRs and apply it to the corresponding Tx-Rx beam pair measurement in the SLS.</w:t>
      </w:r>
    </w:p>
    <w:p w14:paraId="3B67E48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These two options will significantly affect the final performance. Observations show that the SNR range for beams in set B can vary widely, often exceeding 20 dB. For instance, if the highest SNR is -3 dB, the SNR for other TX beams will be lower than -20 dB. Consequently, the measurement error distribution will differ, with varying Gaussian standard deviations.</w:t>
      </w:r>
    </w:p>
    <w:p w14:paraId="1BB623C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In order to better simulate the real implementation in real word, we suggest to generate error distributions separately for each individual Tx-Rx beam pair based on different SNRs and apply different Gaussian standard deviations to the corresponding Tx-Rx beam pair measurements in the SLS.</w:t>
      </w:r>
    </w:p>
    <w:p w14:paraId="35862C08" w14:textId="77777777" w:rsidR="00A50502" w:rsidRPr="00A44169"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A44169">
        <w:rPr>
          <w:rFonts w:ascii="Times New Roman" w:hAnsi="Times New Roman"/>
          <w:szCs w:val="20"/>
          <w:u w:val="single"/>
        </w:rPr>
        <w:t>Gaussian Standard Deviation for Different SNRs</w:t>
      </w:r>
    </w:p>
    <w:p w14:paraId="7753F9FB" w14:textId="77777777" w:rsidR="00A50502" w:rsidRPr="003A47A1" w:rsidRDefault="00A50502" w:rsidP="00A50502">
      <w:pPr>
        <w:spacing w:after="120"/>
        <w:ind w:firstLine="402"/>
        <w:rPr>
          <w:rFonts w:asciiTheme="majorHAnsi" w:hAnsiTheme="majorHAnsi"/>
          <w:szCs w:val="20"/>
        </w:rPr>
      </w:pPr>
      <w:r w:rsidRPr="003A47A1">
        <w:rPr>
          <w:rFonts w:asciiTheme="majorHAnsi" w:hAnsiTheme="majorHAnsi"/>
          <w:szCs w:val="20"/>
        </w:rPr>
        <w:lastRenderedPageBreak/>
        <w:t>For different TX beams, different Gaussian standard deviations will be considered. RAN4 need to discuss whether and how to align the Gaussian standard deviation of measurement error for different SNRs. The difficulty is that measurement error is highly dependent on the UE implementation, such as whether advanced noise cancellation algorithms are applied.</w:t>
      </w:r>
    </w:p>
    <w:p w14:paraId="6BAA1289" w14:textId="77777777" w:rsidR="00A50502" w:rsidRPr="00591AC2"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591AC2">
        <w:rPr>
          <w:rFonts w:ascii="Times New Roman" w:hAnsi="Times New Roman"/>
          <w:szCs w:val="20"/>
          <w:u w:val="single"/>
        </w:rPr>
        <w:t xml:space="preserve">Largest SNR Distribution Among All Selected UEs </w:t>
      </w:r>
    </w:p>
    <w:p w14:paraId="7695F173"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Current Assumption:</w:t>
      </w:r>
    </w:p>
    <w:p w14:paraId="715CC754" w14:textId="77777777" w:rsidR="00A50502" w:rsidRPr="003A47A1" w:rsidRDefault="00A50502" w:rsidP="00A50502">
      <w:pPr>
        <w:pStyle w:val="a3"/>
        <w:spacing w:beforeLines="50" w:before="120" w:after="120"/>
        <w:rPr>
          <w:rFonts w:asciiTheme="majorHAnsi" w:eastAsia="仿宋" w:hAnsiTheme="majorHAnsi" w:cstheme="majorHAnsi"/>
        </w:rPr>
      </w:pPr>
      <w:r w:rsidRPr="003A47A1">
        <w:rPr>
          <w:rFonts w:asciiTheme="majorHAnsi" w:hAnsiTheme="majorHAnsi" w:cstheme="majorHAnsi"/>
        </w:rPr>
        <w:t xml:space="preserve">     - The simulation assumes that the strongest SNR for selected UEs will be higher than -3 dB. </w:t>
      </w:r>
      <w:r w:rsidRPr="003A47A1">
        <w:rPr>
          <w:rFonts w:asciiTheme="majorHAnsi" w:eastAsia="仿宋" w:hAnsiTheme="majorHAnsi" w:cstheme="majorHAnsi"/>
        </w:rPr>
        <w:t>We generate L1-RSRP for multiple UEs and corresponding SINR for all TX beams from SLS. For AI model, the input for each UE will be 8 TX beams from set B, i.e. 8 SINRs. According to maximum SINR of each UE, we split UE into 5 groups.</w:t>
      </w:r>
    </w:p>
    <w:p w14:paraId="0F57D9C7"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1: </w:t>
      </w:r>
      <m:oMath>
        <m:r>
          <m:rPr>
            <m:sty m:val="p"/>
          </m:rPr>
          <w:rPr>
            <w:rFonts w:ascii="Cambria Math" w:hAnsi="Cambria Math" w:cstheme="majorHAnsi"/>
          </w:rPr>
          <m:t>15dB≤</m:t>
        </m:r>
      </m:oMath>
      <w:r w:rsidRPr="003A47A1">
        <w:rPr>
          <w:rFonts w:asciiTheme="majorHAnsi" w:hAnsiTheme="majorHAnsi" w:cstheme="majorHAnsi"/>
        </w:rPr>
        <w:t>maximum SINR</w:t>
      </w:r>
    </w:p>
    <w:p w14:paraId="384A6F4D"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2: </w:t>
      </w:r>
      <m:oMath>
        <m:r>
          <m:rPr>
            <m:sty m:val="p"/>
          </m:rPr>
          <w:rPr>
            <w:rFonts w:ascii="Cambria Math" w:hAnsi="Cambria Math" w:cstheme="majorHAnsi"/>
          </w:rPr>
          <m:t>10dB≤</m:t>
        </m:r>
      </m:oMath>
      <w:r w:rsidRPr="003A47A1">
        <w:rPr>
          <w:rFonts w:asciiTheme="majorHAnsi" w:hAnsiTheme="majorHAnsi" w:cstheme="majorHAnsi"/>
        </w:rPr>
        <w:t>maximum SINR&lt;15dB</w:t>
      </w:r>
    </w:p>
    <w:p w14:paraId="1A9CA5CE"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3: </w:t>
      </w:r>
      <m:oMath>
        <m:r>
          <m:rPr>
            <m:sty m:val="p"/>
          </m:rPr>
          <w:rPr>
            <w:rFonts w:ascii="Cambria Math" w:hAnsi="Cambria Math" w:cstheme="majorHAnsi"/>
          </w:rPr>
          <m:t xml:space="preserve">5dB≤maximum </m:t>
        </m:r>
      </m:oMath>
      <w:r w:rsidRPr="003A47A1">
        <w:rPr>
          <w:rFonts w:asciiTheme="majorHAnsi" w:hAnsiTheme="majorHAnsi" w:cstheme="majorHAnsi"/>
        </w:rPr>
        <w:t>SINR&lt;10dB</w:t>
      </w:r>
    </w:p>
    <w:p w14:paraId="06919898"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4: </w:t>
      </w:r>
      <m:oMath>
        <m:r>
          <m:rPr>
            <m:sty m:val="p"/>
          </m:rPr>
          <w:rPr>
            <w:rFonts w:ascii="Cambria Math" w:hAnsi="Cambria Math" w:cstheme="majorHAnsi"/>
          </w:rPr>
          <m:t xml:space="preserve">0dB≤maximum </m:t>
        </m:r>
      </m:oMath>
      <w:r w:rsidRPr="003A47A1">
        <w:rPr>
          <w:rFonts w:asciiTheme="majorHAnsi" w:hAnsiTheme="majorHAnsi" w:cstheme="majorHAnsi"/>
        </w:rPr>
        <w:t>SINR&lt;5dB</w:t>
      </w:r>
    </w:p>
    <w:p w14:paraId="1A97C102"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5: </w:t>
      </w:r>
      <m:oMath>
        <m:r>
          <m:rPr>
            <m:sty m:val="p"/>
          </m:rPr>
          <w:rPr>
            <w:rFonts w:ascii="Cambria Math" w:hAnsi="Cambria Math" w:cstheme="majorHAnsi"/>
          </w:rPr>
          <m:t xml:space="preserve">-3dB≤maximum </m:t>
        </m:r>
      </m:oMath>
      <w:r w:rsidRPr="003A47A1">
        <w:rPr>
          <w:rFonts w:asciiTheme="majorHAnsi" w:hAnsiTheme="majorHAnsi" w:cstheme="majorHAnsi"/>
        </w:rPr>
        <w:t>SINR&lt;0dB</w:t>
      </w:r>
    </w:p>
    <w:p w14:paraId="75649FCD" w14:textId="77777777" w:rsidR="00A50502" w:rsidRDefault="00A50502" w:rsidP="00A50502">
      <w:pPr>
        <w:spacing w:after="120"/>
        <w:rPr>
          <w:rFonts w:asciiTheme="majorHAnsi" w:hAnsiTheme="majorHAnsi"/>
          <w:szCs w:val="20"/>
        </w:rPr>
      </w:pPr>
    </w:p>
    <w:p w14:paraId="30537F7F" w14:textId="77777777" w:rsidR="00A50502" w:rsidRPr="003A47A1" w:rsidRDefault="00A50502" w:rsidP="00A50502">
      <w:pPr>
        <w:spacing w:after="120"/>
        <w:jc w:val="center"/>
        <w:rPr>
          <w:rFonts w:asciiTheme="majorHAnsi" w:hAnsiTheme="majorHAnsi"/>
          <w:szCs w:val="20"/>
        </w:rPr>
      </w:pPr>
      <w:r>
        <w:rPr>
          <w:rFonts w:asciiTheme="majorHAnsi" w:hAnsiTheme="majorHAnsi" w:hint="eastAsia"/>
          <w:szCs w:val="20"/>
        </w:rPr>
        <w:t>T</w:t>
      </w:r>
      <w:r>
        <w:rPr>
          <w:rFonts w:asciiTheme="majorHAnsi" w:hAnsiTheme="majorHAnsi"/>
          <w:szCs w:val="20"/>
        </w:rPr>
        <w:t>able: Beam prediction accuracy for each UE groups with RF+BB error, X=0dB</w:t>
      </w:r>
    </w:p>
    <w:tbl>
      <w:tblPr>
        <w:tblStyle w:val="ad"/>
        <w:tblW w:w="9776" w:type="dxa"/>
        <w:tblLook w:val="04A0" w:firstRow="1" w:lastRow="0" w:firstColumn="1" w:lastColumn="0" w:noHBand="0" w:noVBand="1"/>
      </w:tblPr>
      <w:tblGrid>
        <w:gridCol w:w="1980"/>
        <w:gridCol w:w="1358"/>
        <w:gridCol w:w="1022"/>
        <w:gridCol w:w="1129"/>
        <w:gridCol w:w="1310"/>
        <w:gridCol w:w="1276"/>
        <w:gridCol w:w="1701"/>
      </w:tblGrid>
      <w:tr w:rsidR="00A50502" w:rsidRPr="003A47A1" w14:paraId="10C59C1B" w14:textId="77777777" w:rsidTr="007E215B">
        <w:tc>
          <w:tcPr>
            <w:tcW w:w="1980" w:type="dxa"/>
            <w:vMerge w:val="restart"/>
            <w:vAlign w:val="center"/>
          </w:tcPr>
          <w:p w14:paraId="0E4F071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hAnsiTheme="majorHAnsi" w:cstheme="majorHAnsi"/>
              </w:rPr>
              <w:t>Maximum SINR range of UE</w:t>
            </w:r>
          </w:p>
        </w:tc>
        <w:tc>
          <w:tcPr>
            <w:tcW w:w="7796" w:type="dxa"/>
            <w:gridSpan w:val="6"/>
          </w:tcPr>
          <w:p w14:paraId="08CF38E0" w14:textId="77777777" w:rsidR="00A50502" w:rsidRPr="003A47A1" w:rsidRDefault="00A50502" w:rsidP="007E215B">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 xml:space="preserve">Beam index Prediction accuracy % </w:t>
            </w:r>
          </w:p>
        </w:tc>
      </w:tr>
      <w:tr w:rsidR="00A50502" w:rsidRPr="003A47A1" w14:paraId="341FAFC0" w14:textId="77777777" w:rsidTr="007E215B">
        <w:tc>
          <w:tcPr>
            <w:tcW w:w="1980" w:type="dxa"/>
            <w:vMerge/>
            <w:vAlign w:val="center"/>
          </w:tcPr>
          <w:p w14:paraId="08026A2A" w14:textId="77777777" w:rsidR="00A50502" w:rsidRPr="003A47A1" w:rsidRDefault="00A50502" w:rsidP="007E215B">
            <w:pPr>
              <w:pStyle w:val="a3"/>
              <w:spacing w:beforeLines="50" w:before="120" w:after="120"/>
              <w:rPr>
                <w:rFonts w:asciiTheme="majorHAnsi" w:eastAsia="仿宋" w:hAnsiTheme="majorHAnsi" w:cstheme="majorHAnsi"/>
              </w:rPr>
            </w:pPr>
          </w:p>
        </w:tc>
        <w:tc>
          <w:tcPr>
            <w:tcW w:w="1358" w:type="dxa"/>
          </w:tcPr>
          <w:p w14:paraId="5FAF832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Top-1/1 </w:t>
            </w:r>
          </w:p>
        </w:tc>
        <w:tc>
          <w:tcPr>
            <w:tcW w:w="1022" w:type="dxa"/>
          </w:tcPr>
          <w:p w14:paraId="6B4679D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Top-1/2 </w:t>
            </w:r>
          </w:p>
        </w:tc>
        <w:tc>
          <w:tcPr>
            <w:tcW w:w="1129" w:type="dxa"/>
          </w:tcPr>
          <w:p w14:paraId="09BCA8F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Top-2/1 </w:t>
            </w:r>
          </w:p>
        </w:tc>
        <w:tc>
          <w:tcPr>
            <w:tcW w:w="1310" w:type="dxa"/>
          </w:tcPr>
          <w:p w14:paraId="25ABA5D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Top-2/2 </w:t>
            </w:r>
          </w:p>
        </w:tc>
        <w:tc>
          <w:tcPr>
            <w:tcW w:w="1276" w:type="dxa"/>
          </w:tcPr>
          <w:p w14:paraId="4505D7D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701" w:type="dxa"/>
          </w:tcPr>
          <w:p w14:paraId="0C36F9F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 4/2 </w:t>
            </w:r>
          </w:p>
        </w:tc>
      </w:tr>
      <w:tr w:rsidR="00A50502" w:rsidRPr="003A47A1" w14:paraId="50B2537E" w14:textId="77777777" w:rsidTr="007E215B">
        <w:tc>
          <w:tcPr>
            <w:tcW w:w="1980" w:type="dxa"/>
            <w:vAlign w:val="center"/>
          </w:tcPr>
          <w:p w14:paraId="3EA635B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No error</w:t>
            </w:r>
          </w:p>
        </w:tc>
        <w:tc>
          <w:tcPr>
            <w:tcW w:w="1358" w:type="dxa"/>
          </w:tcPr>
          <w:p w14:paraId="0968571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66.39</w:t>
            </w:r>
          </w:p>
        </w:tc>
        <w:tc>
          <w:tcPr>
            <w:tcW w:w="1022" w:type="dxa"/>
          </w:tcPr>
          <w:p w14:paraId="02E21FD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94.54</w:t>
            </w:r>
          </w:p>
        </w:tc>
        <w:tc>
          <w:tcPr>
            <w:tcW w:w="1129" w:type="dxa"/>
          </w:tcPr>
          <w:p w14:paraId="37EC591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88.35</w:t>
            </w:r>
          </w:p>
        </w:tc>
        <w:tc>
          <w:tcPr>
            <w:tcW w:w="1310" w:type="dxa"/>
          </w:tcPr>
          <w:p w14:paraId="0121B27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98.50</w:t>
            </w:r>
          </w:p>
        </w:tc>
        <w:tc>
          <w:tcPr>
            <w:tcW w:w="1276" w:type="dxa"/>
          </w:tcPr>
          <w:p w14:paraId="04C8BFE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97.85</w:t>
            </w:r>
          </w:p>
        </w:tc>
        <w:tc>
          <w:tcPr>
            <w:tcW w:w="1701" w:type="dxa"/>
          </w:tcPr>
          <w:p w14:paraId="2475A7C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98.12</w:t>
            </w:r>
          </w:p>
        </w:tc>
      </w:tr>
      <w:tr w:rsidR="00A50502" w:rsidRPr="003A47A1" w14:paraId="2DCD98C0" w14:textId="77777777" w:rsidTr="007E215B">
        <w:tc>
          <w:tcPr>
            <w:tcW w:w="1980" w:type="dxa"/>
            <w:vAlign w:val="center"/>
          </w:tcPr>
          <w:p w14:paraId="6439ED4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1</w:t>
            </w:r>
          </w:p>
        </w:tc>
        <w:tc>
          <w:tcPr>
            <w:tcW w:w="1358" w:type="dxa"/>
            <w:vAlign w:val="center"/>
          </w:tcPr>
          <w:p w14:paraId="1D51103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-10.62</w:t>
            </w:r>
          </w:p>
        </w:tc>
        <w:tc>
          <w:tcPr>
            <w:tcW w:w="1022" w:type="dxa"/>
            <w:vAlign w:val="center"/>
          </w:tcPr>
          <w:p w14:paraId="49E8E4A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-11.94</w:t>
            </w:r>
          </w:p>
        </w:tc>
        <w:tc>
          <w:tcPr>
            <w:tcW w:w="1129" w:type="dxa"/>
            <w:vAlign w:val="center"/>
          </w:tcPr>
          <w:p w14:paraId="0697C09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-11.67</w:t>
            </w:r>
          </w:p>
        </w:tc>
        <w:tc>
          <w:tcPr>
            <w:tcW w:w="1310" w:type="dxa"/>
            <w:vAlign w:val="center"/>
          </w:tcPr>
          <w:p w14:paraId="06C535D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-11.89</w:t>
            </w:r>
          </w:p>
        </w:tc>
        <w:tc>
          <w:tcPr>
            <w:tcW w:w="1276" w:type="dxa"/>
            <w:vAlign w:val="center"/>
          </w:tcPr>
          <w:p w14:paraId="56AFDED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-5.85</w:t>
            </w:r>
          </w:p>
        </w:tc>
        <w:tc>
          <w:tcPr>
            <w:tcW w:w="1701" w:type="dxa"/>
            <w:vAlign w:val="center"/>
          </w:tcPr>
          <w:p w14:paraId="34048E2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-4.02</w:t>
            </w:r>
          </w:p>
        </w:tc>
      </w:tr>
      <w:tr w:rsidR="00A50502" w:rsidRPr="003A47A1" w14:paraId="7772248F" w14:textId="77777777" w:rsidTr="007E215B">
        <w:tc>
          <w:tcPr>
            <w:tcW w:w="1980" w:type="dxa"/>
            <w:vAlign w:val="center"/>
          </w:tcPr>
          <w:p w14:paraId="4369D4E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2</w:t>
            </w:r>
          </w:p>
        </w:tc>
        <w:tc>
          <w:tcPr>
            <w:tcW w:w="1358" w:type="dxa"/>
            <w:vAlign w:val="center"/>
          </w:tcPr>
          <w:p w14:paraId="4E19122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-13.21</w:t>
            </w:r>
          </w:p>
        </w:tc>
        <w:tc>
          <w:tcPr>
            <w:tcW w:w="1022" w:type="dxa"/>
            <w:vAlign w:val="center"/>
          </w:tcPr>
          <w:p w14:paraId="32DB695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-14.7</w:t>
            </w:r>
          </w:p>
        </w:tc>
        <w:tc>
          <w:tcPr>
            <w:tcW w:w="1129" w:type="dxa"/>
            <w:vAlign w:val="center"/>
          </w:tcPr>
          <w:p w14:paraId="2666224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-14.89</w:t>
            </w:r>
          </w:p>
        </w:tc>
        <w:tc>
          <w:tcPr>
            <w:tcW w:w="1310" w:type="dxa"/>
            <w:vAlign w:val="center"/>
          </w:tcPr>
          <w:p w14:paraId="373CC8B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-13.09</w:t>
            </w:r>
          </w:p>
        </w:tc>
        <w:tc>
          <w:tcPr>
            <w:tcW w:w="1276" w:type="dxa"/>
            <w:vAlign w:val="center"/>
          </w:tcPr>
          <w:p w14:paraId="31EC072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-7.3</w:t>
            </w:r>
          </w:p>
        </w:tc>
        <w:tc>
          <w:tcPr>
            <w:tcW w:w="1701" w:type="dxa"/>
            <w:vAlign w:val="center"/>
          </w:tcPr>
          <w:p w14:paraId="46DBC06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-2.87</w:t>
            </w:r>
          </w:p>
        </w:tc>
      </w:tr>
      <w:tr w:rsidR="00A50502" w:rsidRPr="003A47A1" w14:paraId="1C99F6BC" w14:textId="77777777" w:rsidTr="007E215B">
        <w:tc>
          <w:tcPr>
            <w:tcW w:w="1980" w:type="dxa"/>
            <w:vAlign w:val="center"/>
          </w:tcPr>
          <w:p w14:paraId="70F171A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3</w:t>
            </w:r>
          </w:p>
        </w:tc>
        <w:tc>
          <w:tcPr>
            <w:tcW w:w="1358" w:type="dxa"/>
            <w:vAlign w:val="center"/>
          </w:tcPr>
          <w:p w14:paraId="79A2805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-19.71</w:t>
            </w:r>
          </w:p>
        </w:tc>
        <w:tc>
          <w:tcPr>
            <w:tcW w:w="1022" w:type="dxa"/>
            <w:vAlign w:val="center"/>
          </w:tcPr>
          <w:p w14:paraId="6A23687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-22.34</w:t>
            </w:r>
          </w:p>
        </w:tc>
        <w:tc>
          <w:tcPr>
            <w:tcW w:w="1129" w:type="dxa"/>
            <w:vAlign w:val="center"/>
          </w:tcPr>
          <w:p w14:paraId="6B6C9B9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-21.88</w:t>
            </w:r>
          </w:p>
        </w:tc>
        <w:tc>
          <w:tcPr>
            <w:tcW w:w="1310" w:type="dxa"/>
            <w:vAlign w:val="center"/>
          </w:tcPr>
          <w:p w14:paraId="4099C65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-20.46</w:t>
            </w:r>
          </w:p>
        </w:tc>
        <w:tc>
          <w:tcPr>
            <w:tcW w:w="1276" w:type="dxa"/>
            <w:vAlign w:val="center"/>
          </w:tcPr>
          <w:p w14:paraId="665A294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-13.42</w:t>
            </w:r>
          </w:p>
        </w:tc>
        <w:tc>
          <w:tcPr>
            <w:tcW w:w="1701" w:type="dxa"/>
            <w:vAlign w:val="center"/>
          </w:tcPr>
          <w:p w14:paraId="2BEF764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-5.77</w:t>
            </w:r>
          </w:p>
        </w:tc>
      </w:tr>
      <w:tr w:rsidR="00A50502" w:rsidRPr="003A47A1" w14:paraId="4B968717" w14:textId="77777777" w:rsidTr="007E215B">
        <w:tc>
          <w:tcPr>
            <w:tcW w:w="1980" w:type="dxa"/>
            <w:vAlign w:val="center"/>
          </w:tcPr>
          <w:p w14:paraId="599B5BD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4</w:t>
            </w:r>
          </w:p>
        </w:tc>
        <w:tc>
          <w:tcPr>
            <w:tcW w:w="1358" w:type="dxa"/>
            <w:vAlign w:val="center"/>
          </w:tcPr>
          <w:p w14:paraId="381E52B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-28.26</w:t>
            </w:r>
          </w:p>
        </w:tc>
        <w:tc>
          <w:tcPr>
            <w:tcW w:w="1022" w:type="dxa"/>
            <w:vAlign w:val="center"/>
          </w:tcPr>
          <w:p w14:paraId="7E59197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-41.33</w:t>
            </w:r>
          </w:p>
        </w:tc>
        <w:tc>
          <w:tcPr>
            <w:tcW w:w="1129" w:type="dxa"/>
            <w:vAlign w:val="center"/>
          </w:tcPr>
          <w:p w14:paraId="3B33C1C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-35.99</w:t>
            </w:r>
          </w:p>
        </w:tc>
        <w:tc>
          <w:tcPr>
            <w:tcW w:w="1310" w:type="dxa"/>
            <w:vAlign w:val="center"/>
          </w:tcPr>
          <w:p w14:paraId="4B9DC26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-37.67</w:t>
            </w:r>
          </w:p>
        </w:tc>
        <w:tc>
          <w:tcPr>
            <w:tcW w:w="1276" w:type="dxa"/>
            <w:vAlign w:val="center"/>
          </w:tcPr>
          <w:p w14:paraId="7E373AA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-25.09</w:t>
            </w:r>
          </w:p>
        </w:tc>
        <w:tc>
          <w:tcPr>
            <w:tcW w:w="1701" w:type="dxa"/>
            <w:vAlign w:val="center"/>
          </w:tcPr>
          <w:p w14:paraId="27D2586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-17.48</w:t>
            </w:r>
          </w:p>
        </w:tc>
      </w:tr>
      <w:tr w:rsidR="00A50502" w:rsidRPr="003A47A1" w14:paraId="1EC01A83" w14:textId="77777777" w:rsidTr="007E215B">
        <w:tc>
          <w:tcPr>
            <w:tcW w:w="1980" w:type="dxa"/>
            <w:vAlign w:val="center"/>
          </w:tcPr>
          <w:p w14:paraId="68C95A1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5</w:t>
            </w:r>
          </w:p>
        </w:tc>
        <w:tc>
          <w:tcPr>
            <w:tcW w:w="1358" w:type="dxa"/>
            <w:vAlign w:val="center"/>
          </w:tcPr>
          <w:p w14:paraId="0F9305C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-44.31</w:t>
            </w:r>
          </w:p>
        </w:tc>
        <w:tc>
          <w:tcPr>
            <w:tcW w:w="1022" w:type="dxa"/>
            <w:vAlign w:val="center"/>
          </w:tcPr>
          <w:p w14:paraId="16520ED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-59.34</w:t>
            </w:r>
          </w:p>
        </w:tc>
        <w:tc>
          <w:tcPr>
            <w:tcW w:w="1129" w:type="dxa"/>
            <w:vAlign w:val="center"/>
          </w:tcPr>
          <w:p w14:paraId="6511377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-56.79</w:t>
            </w:r>
          </w:p>
        </w:tc>
        <w:tc>
          <w:tcPr>
            <w:tcW w:w="1310" w:type="dxa"/>
            <w:vAlign w:val="center"/>
          </w:tcPr>
          <w:p w14:paraId="608A6BE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-56.05</w:t>
            </w:r>
          </w:p>
        </w:tc>
        <w:tc>
          <w:tcPr>
            <w:tcW w:w="1276" w:type="dxa"/>
            <w:vAlign w:val="center"/>
          </w:tcPr>
          <w:p w14:paraId="395A97A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-51.19</w:t>
            </w:r>
          </w:p>
        </w:tc>
        <w:tc>
          <w:tcPr>
            <w:tcW w:w="1701" w:type="dxa"/>
            <w:vAlign w:val="center"/>
          </w:tcPr>
          <w:p w14:paraId="6378722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-46.87</w:t>
            </w:r>
          </w:p>
        </w:tc>
      </w:tr>
    </w:tbl>
    <w:p w14:paraId="4AC5CCFC" w14:textId="77777777" w:rsidR="00A50502" w:rsidRPr="003A47A1" w:rsidRDefault="00A50502" w:rsidP="00A50502">
      <w:pPr>
        <w:pStyle w:val="a3"/>
        <w:spacing w:beforeLines="50" w:before="120" w:after="120" w:line="240" w:lineRule="auto"/>
        <w:rPr>
          <w:rFonts w:asciiTheme="majorHAnsi" w:eastAsia="仿宋" w:hAnsiTheme="majorHAnsi" w:cstheme="majorHAnsi"/>
        </w:rPr>
      </w:pPr>
      <w:r w:rsidRPr="003A47A1">
        <w:rPr>
          <w:rFonts w:asciiTheme="majorHAnsi" w:eastAsia="仿宋" w:hAnsiTheme="majorHAnsi" w:cstheme="majorHAnsi"/>
        </w:rPr>
        <w:t>Note: Prediction accuracy from UE group 1 to UE group 5 is the relative degradation value compared with no error  case.</w:t>
      </w:r>
    </w:p>
    <w:p w14:paraId="2155BEA2" w14:textId="15EB654B" w:rsidR="00A50502" w:rsidRPr="003A47A1" w:rsidRDefault="00A50502" w:rsidP="00A50502">
      <w:pPr>
        <w:pStyle w:val="a3"/>
        <w:spacing w:beforeLines="100" w:before="240" w:after="120" w:line="240" w:lineRule="auto"/>
        <w:rPr>
          <w:rFonts w:asciiTheme="majorHAnsi" w:hAnsiTheme="majorHAnsi" w:cstheme="majorHAnsi"/>
          <w:b/>
          <w:bCs/>
        </w:rPr>
      </w:pPr>
      <w:bookmarkStart w:id="6" w:name="OLE_LINK33"/>
      <w:r w:rsidRPr="003A47A1">
        <w:rPr>
          <w:rFonts w:asciiTheme="majorHAnsi" w:hAnsiTheme="majorHAnsi" w:cstheme="majorHAnsi"/>
          <w:b/>
          <w:bCs/>
        </w:rPr>
        <w:t xml:space="preserve">Observation </w:t>
      </w:r>
      <w:r w:rsidR="009914A4">
        <w:rPr>
          <w:rFonts w:asciiTheme="majorHAnsi" w:hAnsiTheme="majorHAnsi" w:cstheme="majorHAnsi"/>
          <w:b/>
          <w:bCs/>
        </w:rPr>
        <w:t>3</w:t>
      </w:r>
      <w:r w:rsidRPr="003A47A1">
        <w:rPr>
          <w:rFonts w:asciiTheme="majorHAnsi" w:hAnsiTheme="majorHAnsi" w:cstheme="majorHAnsi"/>
          <w:b/>
          <w:bCs/>
        </w:rPr>
        <w:t>: Significant Performance Degradation in Low SNR Groups. The performance degradation is more significant in UE groups with lower maximum SNR.</w:t>
      </w:r>
    </w:p>
    <w:p w14:paraId="717F1395"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For example, the Top-1/1 prediction accuracy drops by 44.31% for UE group 5 (SINR &lt; 0 dB), compared to a drop of only 10.62% for UE group 1 (SINR ≥ 15 dB).</w:t>
      </w:r>
    </w:p>
    <w:p w14:paraId="331F26F4" w14:textId="59D593C7" w:rsidR="00A50502" w:rsidRPr="003A47A1" w:rsidRDefault="00A50502" w:rsidP="00A50502">
      <w:pPr>
        <w:pStyle w:val="a3"/>
        <w:spacing w:beforeLines="50" w:before="12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sidR="009914A4">
        <w:rPr>
          <w:rFonts w:asciiTheme="majorHAnsi" w:hAnsiTheme="majorHAnsi" w:cstheme="majorHAnsi"/>
          <w:b/>
          <w:bCs/>
        </w:rPr>
        <w:t>4</w:t>
      </w:r>
      <w:r w:rsidRPr="003A47A1">
        <w:rPr>
          <w:rFonts w:asciiTheme="majorHAnsi" w:hAnsiTheme="majorHAnsi" w:cstheme="majorHAnsi"/>
          <w:b/>
          <w:bCs/>
        </w:rPr>
        <w:t>: Higher Stability in High SNR Groups. UE groups with higher maximum SNR (e.g., UE group 1 and UE group 2) show better performance stability under different measurement errors.</w:t>
      </w:r>
    </w:p>
    <w:bookmarkEnd w:id="6"/>
    <w:p w14:paraId="4D2620CD"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For instance, UE group 1's Top-1/1 accuracy drops by 10.62% with RF+BB error, while UE group 5's drops by 44.31%.</w:t>
      </w:r>
    </w:p>
    <w:p w14:paraId="4AC54139"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This means that the RSRP prediction performance can vary substantially depending on the distribution of the maximum SNR. For example, in one scenario, most UEs have a strongest SNR around -3 dB, while in another scenario, most UEs </w:t>
      </w:r>
      <w:r w:rsidRPr="003A47A1">
        <w:rPr>
          <w:rFonts w:asciiTheme="majorHAnsi" w:hAnsiTheme="majorHAnsi"/>
          <w:szCs w:val="20"/>
        </w:rPr>
        <w:lastRenderedPageBreak/>
        <w:t>have a strongest SNR above 10 dB, with only a few around -3 dB. This variation in the maximum SNR distribution can significantly impact the final performance. In our simulation, the largest SNR distribution is as below:</w:t>
      </w:r>
    </w:p>
    <w:p w14:paraId="0C63FF01" w14:textId="77777777" w:rsidR="00A50502" w:rsidRDefault="00A50502" w:rsidP="00A50502">
      <w:pPr>
        <w:spacing w:after="120"/>
        <w:jc w:val="center"/>
        <w:rPr>
          <w:rFonts w:asciiTheme="majorHAnsi" w:hAnsiTheme="majorHAnsi"/>
          <w:szCs w:val="20"/>
        </w:rPr>
      </w:pPr>
      <w:r w:rsidRPr="003A47A1">
        <w:rPr>
          <w:rFonts w:asciiTheme="majorHAnsi" w:hAnsiTheme="majorHAnsi"/>
          <w:noProof/>
        </w:rPr>
        <w:drawing>
          <wp:inline distT="0" distB="0" distL="0" distR="0" wp14:anchorId="75227EBA" wp14:editId="476495AA">
            <wp:extent cx="2702169" cy="2088731"/>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23291" cy="2105058"/>
                    </a:xfrm>
                    <a:prstGeom prst="rect">
                      <a:avLst/>
                    </a:prstGeom>
                  </pic:spPr>
                </pic:pic>
              </a:graphicData>
            </a:graphic>
          </wp:inline>
        </w:drawing>
      </w:r>
    </w:p>
    <w:p w14:paraId="733A6DED" w14:textId="25064055" w:rsidR="00A50502" w:rsidRPr="003A47A1" w:rsidRDefault="00A50502" w:rsidP="00A50502">
      <w:pPr>
        <w:spacing w:after="120"/>
        <w:jc w:val="center"/>
        <w:rPr>
          <w:rFonts w:asciiTheme="majorHAnsi" w:hAnsiTheme="majorHAnsi"/>
          <w:szCs w:val="20"/>
        </w:rPr>
      </w:pPr>
      <w:r>
        <w:rPr>
          <w:rFonts w:asciiTheme="majorHAnsi" w:hAnsiTheme="majorHAnsi" w:hint="eastAsia"/>
          <w:szCs w:val="20"/>
        </w:rPr>
        <w:t>F</w:t>
      </w:r>
      <w:r>
        <w:rPr>
          <w:rFonts w:asciiTheme="majorHAnsi" w:hAnsiTheme="majorHAnsi"/>
          <w:szCs w:val="20"/>
        </w:rPr>
        <w:t xml:space="preserve">ig. </w:t>
      </w:r>
      <w:r w:rsidR="00160F5B">
        <w:rPr>
          <w:rFonts w:asciiTheme="majorHAnsi" w:hAnsiTheme="majorHAnsi"/>
          <w:szCs w:val="20"/>
        </w:rPr>
        <w:t>2 strongest SINR distribution</w:t>
      </w:r>
    </w:p>
    <w:p w14:paraId="23980F84"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Therefore, RAN4 need to align the distribution of the strongest SNR for all selected UEs.</w:t>
      </w:r>
    </w:p>
    <w:p w14:paraId="1B97FC85" w14:textId="77777777" w:rsidR="00A50502" w:rsidRPr="00591AC2"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591AC2">
        <w:rPr>
          <w:rFonts w:ascii="Times New Roman" w:hAnsi="Times New Roman"/>
          <w:szCs w:val="20"/>
          <w:u w:val="single"/>
        </w:rPr>
        <w:t>SNR Distribution for TX Beams in Set B:</w:t>
      </w:r>
    </w:p>
    <w:p w14:paraId="30BF2B5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To better align the results, it is also important to align the SNR distribution for all TX beams in set B. from our simulation, SINR distribution for 5 UE groups are plotted in Fig.3. For all UE groups. The SNR will span a large range for the best beams and worst beams in set B. if the distribution of SNR span vary a lot for different companies, it’s also difficult to align the result.</w:t>
      </w:r>
    </w:p>
    <w:p w14:paraId="30EDBAB0" w14:textId="701120FA" w:rsidR="00A50502" w:rsidRDefault="00A50502" w:rsidP="00A50502">
      <w:pPr>
        <w:pStyle w:val="a3"/>
        <w:spacing w:beforeLines="50" w:before="120" w:after="120"/>
        <w:jc w:val="center"/>
        <w:rPr>
          <w:rFonts w:asciiTheme="majorHAnsi" w:eastAsia="仿宋" w:hAnsiTheme="majorHAnsi" w:cstheme="majorHAnsi"/>
          <w:u w:val="single"/>
        </w:rPr>
      </w:pPr>
      <w:r w:rsidRPr="003A47A1">
        <w:rPr>
          <w:rFonts w:asciiTheme="majorHAnsi" w:hAnsiTheme="majorHAnsi" w:cstheme="majorHAnsi"/>
          <w:noProof/>
        </w:rPr>
        <w:drawing>
          <wp:inline distT="0" distB="0" distL="0" distR="0" wp14:anchorId="78CE6A67" wp14:editId="21D4F4D8">
            <wp:extent cx="2528046" cy="2004834"/>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2874" cy="2032454"/>
                    </a:xfrm>
                    <a:prstGeom prst="rect">
                      <a:avLst/>
                    </a:prstGeom>
                  </pic:spPr>
                </pic:pic>
              </a:graphicData>
            </a:graphic>
          </wp:inline>
        </w:drawing>
      </w:r>
    </w:p>
    <w:p w14:paraId="5C2B1C6B" w14:textId="59B01643" w:rsidR="002E1DCD" w:rsidRPr="002E1DCD" w:rsidRDefault="002E1DCD" w:rsidP="00A50502">
      <w:pPr>
        <w:pStyle w:val="a3"/>
        <w:spacing w:beforeLines="50" w:before="120" w:after="120"/>
        <w:jc w:val="center"/>
        <w:rPr>
          <w:rFonts w:asciiTheme="majorHAnsi" w:eastAsia="仿宋" w:hAnsiTheme="majorHAnsi" w:cstheme="majorHAnsi"/>
        </w:rPr>
      </w:pPr>
      <w:r w:rsidRPr="002E1DCD">
        <w:rPr>
          <w:rFonts w:asciiTheme="majorHAnsi" w:eastAsia="仿宋" w:hAnsiTheme="majorHAnsi" w:cstheme="majorHAnsi" w:hint="eastAsia"/>
        </w:rPr>
        <w:t>F</w:t>
      </w:r>
      <w:r w:rsidRPr="002E1DCD">
        <w:rPr>
          <w:rFonts w:asciiTheme="majorHAnsi" w:eastAsia="仿宋" w:hAnsiTheme="majorHAnsi" w:cstheme="majorHAnsi"/>
        </w:rPr>
        <w:t>ig.3</w:t>
      </w:r>
      <w:r>
        <w:rPr>
          <w:rFonts w:asciiTheme="majorHAnsi" w:eastAsia="仿宋" w:hAnsiTheme="majorHAnsi" w:cstheme="majorHAnsi"/>
        </w:rPr>
        <w:t xml:space="preserve"> </w:t>
      </w:r>
    </w:p>
    <w:p w14:paraId="2B1FB9DF" w14:textId="77777777" w:rsidR="00A50502" w:rsidRPr="003A47A1" w:rsidRDefault="00A50502" w:rsidP="00A50502">
      <w:pPr>
        <w:pStyle w:val="a3"/>
        <w:spacing w:beforeLines="50" w:before="120" w:after="120"/>
        <w:rPr>
          <w:rFonts w:asciiTheme="majorHAnsi" w:hAnsiTheme="majorHAnsi" w:cstheme="majorHAnsi"/>
        </w:rPr>
      </w:pPr>
      <w:r w:rsidRPr="003A47A1">
        <w:rPr>
          <w:rFonts w:asciiTheme="majorHAnsi" w:hAnsiTheme="majorHAnsi" w:cstheme="majorHAnsi"/>
        </w:rPr>
        <w:t>To better align the results, it is crucial to align the SNR distribution for all TX beams in set B. From our simulation, the SINR distribution for the five UE groups is plotted in Fig. 3. For all UE groups, the SNR spans a wide range, from the best beams to the worst beams in set B. If the SNR distribution varies significantly across different companies, it becomes challenging to align the results.</w:t>
      </w:r>
    </w:p>
    <w:p w14:paraId="7B2A61DF" w14:textId="1D17D829" w:rsidR="00A50502" w:rsidRPr="003A47A1" w:rsidRDefault="00A50502" w:rsidP="00A50502">
      <w:pPr>
        <w:pStyle w:val="a3"/>
        <w:spacing w:beforeLines="50" w:before="120" w:after="120"/>
        <w:rPr>
          <w:rFonts w:asciiTheme="majorHAnsi" w:hAnsiTheme="majorHAnsi" w:cstheme="majorHAnsi"/>
          <w:b/>
          <w:bCs/>
        </w:rPr>
      </w:pPr>
      <w:r w:rsidRPr="003A47A1">
        <w:rPr>
          <w:rFonts w:asciiTheme="majorHAnsi" w:hAnsiTheme="majorHAnsi" w:cstheme="majorHAnsi"/>
          <w:b/>
          <w:bCs/>
        </w:rPr>
        <w:t xml:space="preserve">Observation </w:t>
      </w:r>
      <w:r w:rsidR="009914A4">
        <w:rPr>
          <w:rFonts w:asciiTheme="majorHAnsi" w:hAnsiTheme="majorHAnsi" w:cstheme="majorHAnsi"/>
          <w:b/>
          <w:bCs/>
        </w:rPr>
        <w:t>5</w:t>
      </w:r>
      <w:r w:rsidRPr="003A47A1">
        <w:rPr>
          <w:rFonts w:asciiTheme="majorHAnsi" w:hAnsiTheme="majorHAnsi" w:cstheme="majorHAnsi"/>
          <w:b/>
          <w:bCs/>
        </w:rPr>
        <w:t>: The SINR distribution for all UE groups spans a large range, and this distribution can significantly impact the final accuracy performance.</w:t>
      </w:r>
    </w:p>
    <w:bookmarkEnd w:id="5"/>
    <w:p w14:paraId="23F99B41" w14:textId="569550E6" w:rsidR="00A50502" w:rsidRDefault="00A50502" w:rsidP="00A50502">
      <w:pPr>
        <w:spacing w:after="120"/>
        <w:rPr>
          <w:rFonts w:asciiTheme="majorHAnsi" w:hAnsiTheme="majorHAnsi"/>
          <w:szCs w:val="20"/>
        </w:rPr>
      </w:pPr>
      <w:r w:rsidRPr="003A47A1">
        <w:rPr>
          <w:rFonts w:asciiTheme="majorHAnsi" w:hAnsiTheme="majorHAnsi"/>
          <w:szCs w:val="20"/>
        </w:rPr>
        <w:t>To ensure consistent and reliable simulation results, we recommend that RAN4 align the following factors:</w:t>
      </w:r>
    </w:p>
    <w:p w14:paraId="676A9F33" w14:textId="1C2E0760" w:rsidR="005B2839" w:rsidRPr="003A47A1" w:rsidRDefault="005B2839" w:rsidP="005B2839">
      <w:pPr>
        <w:spacing w:after="120"/>
        <w:rPr>
          <w:rFonts w:asciiTheme="majorHAnsi" w:hAnsiTheme="majorHAnsi"/>
          <w:b/>
          <w:bCs/>
          <w:szCs w:val="20"/>
        </w:rPr>
      </w:pPr>
      <w:r w:rsidRPr="003A47A1">
        <w:rPr>
          <w:rFonts w:asciiTheme="majorHAnsi" w:hAnsiTheme="majorHAnsi"/>
          <w:b/>
          <w:bCs/>
          <w:szCs w:val="20"/>
        </w:rPr>
        <w:t>Proposal</w:t>
      </w:r>
      <w:r>
        <w:rPr>
          <w:rFonts w:asciiTheme="majorHAnsi" w:hAnsiTheme="majorHAnsi"/>
          <w:b/>
          <w:bCs/>
          <w:szCs w:val="20"/>
        </w:rPr>
        <w:t xml:space="preserve"> </w:t>
      </w:r>
      <w:r w:rsidR="00723D81">
        <w:rPr>
          <w:rFonts w:asciiTheme="majorHAnsi" w:hAnsiTheme="majorHAnsi"/>
          <w:b/>
          <w:bCs/>
          <w:szCs w:val="20"/>
        </w:rPr>
        <w:t>5</w:t>
      </w:r>
      <w:r w:rsidRPr="003A47A1">
        <w:rPr>
          <w:rFonts w:asciiTheme="majorHAnsi" w:hAnsiTheme="majorHAnsi"/>
          <w:b/>
          <w:bCs/>
          <w:szCs w:val="20"/>
        </w:rPr>
        <w:t xml:space="preserve">: </w:t>
      </w:r>
      <w:r w:rsidR="00723D81">
        <w:rPr>
          <w:rFonts w:asciiTheme="majorHAnsi" w:hAnsiTheme="majorHAnsi"/>
          <w:b/>
          <w:bCs/>
          <w:szCs w:val="20"/>
        </w:rPr>
        <w:t>when consider measurement error, t</w:t>
      </w:r>
      <w:r w:rsidRPr="003A47A1">
        <w:rPr>
          <w:rFonts w:asciiTheme="majorHAnsi" w:hAnsiTheme="majorHAnsi"/>
          <w:b/>
          <w:bCs/>
          <w:szCs w:val="20"/>
        </w:rPr>
        <w:t>o ensure consistent and reliable simulation results, we recommend that RAN4 align the following factors:</w:t>
      </w:r>
    </w:p>
    <w:p w14:paraId="006A53E1"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1. Method of Adding Measurement Error for Different TX Beams</w:t>
      </w:r>
      <w:r w:rsidRPr="009325EF">
        <w:rPr>
          <w:rFonts w:asciiTheme="majorHAnsi" w:hAnsiTheme="majorHAnsi" w:cstheme="majorHAnsi" w:hint="eastAsia"/>
          <w:b/>
          <w:bCs/>
        </w:rPr>
        <w:t>：</w:t>
      </w:r>
    </w:p>
    <w:p w14:paraId="0A2084E1" w14:textId="77777777" w:rsidR="005B2839" w:rsidRPr="00E634D8" w:rsidRDefault="005B2839" w:rsidP="00420833">
      <w:pPr>
        <w:pStyle w:val="a3"/>
        <w:numPr>
          <w:ilvl w:val="2"/>
          <w:numId w:val="17"/>
        </w:numPr>
        <w:spacing w:after="120" w:line="240" w:lineRule="auto"/>
        <w:rPr>
          <w:rFonts w:asciiTheme="majorHAnsi" w:hAnsiTheme="majorHAnsi" w:cstheme="majorHAnsi"/>
          <w:b/>
          <w:bCs/>
        </w:rPr>
      </w:pPr>
      <w:r w:rsidRPr="00A041AB">
        <w:rPr>
          <w:rFonts w:asciiTheme="majorHAnsi" w:hAnsiTheme="majorHAnsi" w:cstheme="majorHAnsi"/>
          <w:b/>
          <w:bCs/>
        </w:rPr>
        <w:t xml:space="preserve">Generate error distributions separately for each individual Tx-Rx beam pair based on different </w:t>
      </w:r>
      <w:r w:rsidRPr="00A041AB">
        <w:rPr>
          <w:rFonts w:asciiTheme="majorHAnsi" w:hAnsiTheme="majorHAnsi" w:cstheme="majorHAnsi"/>
          <w:b/>
          <w:bCs/>
        </w:rPr>
        <w:lastRenderedPageBreak/>
        <w:t>SNRs and apply different Gaussian standard deviations to the corresponding Tx-Rx beam pair measurements in the SLS.</w:t>
      </w:r>
    </w:p>
    <w:p w14:paraId="1C9670AD" w14:textId="77777777" w:rsidR="005B2839" w:rsidRPr="003A47A1" w:rsidRDefault="005B2839" w:rsidP="00420833">
      <w:pPr>
        <w:pStyle w:val="a3"/>
        <w:numPr>
          <w:ilvl w:val="0"/>
          <w:numId w:val="14"/>
        </w:numPr>
        <w:spacing w:after="120" w:line="240" w:lineRule="auto"/>
        <w:rPr>
          <w:rFonts w:asciiTheme="majorHAnsi" w:hAnsiTheme="majorHAnsi"/>
          <w:b/>
          <w:bCs/>
        </w:rPr>
      </w:pPr>
      <w:r w:rsidRPr="009325EF">
        <w:rPr>
          <w:rFonts w:asciiTheme="majorHAnsi" w:hAnsiTheme="majorHAnsi" w:cstheme="majorHAnsi"/>
          <w:b/>
          <w:bCs/>
        </w:rPr>
        <w:t>2. Gaussian Standard Deviation for Different SNRs</w:t>
      </w:r>
    </w:p>
    <w:p w14:paraId="526D6005"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Establish reference standard deviation values for critical SNR operating points.</w:t>
      </w:r>
    </w:p>
    <w:p w14:paraId="490986BB"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3. Largest SNR Distribution Among All Selected UEs</w:t>
      </w:r>
    </w:p>
    <w:p w14:paraId="0D828D1A"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Divide the largest SNR range into several groups and define reference percentages for each group.</w:t>
      </w:r>
    </w:p>
    <w:p w14:paraId="646BD7C3"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4. SNR Distribution for TX Beams in Set B</w:t>
      </w:r>
    </w:p>
    <w:p w14:paraId="18415252"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Align the SNR distribution for all TX beams in set B to ensure consistency across different companies.</w:t>
      </w:r>
    </w:p>
    <w:p w14:paraId="394D5961" w14:textId="77777777" w:rsidR="005B2839" w:rsidRPr="005B2839" w:rsidRDefault="005B2839" w:rsidP="00A50502">
      <w:pPr>
        <w:spacing w:after="120"/>
        <w:rPr>
          <w:rFonts w:asciiTheme="majorHAnsi" w:hAnsiTheme="majorHAnsi"/>
          <w:szCs w:val="20"/>
        </w:rPr>
      </w:pPr>
    </w:p>
    <w:p w14:paraId="4A487F8C"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Conclusion</w:t>
      </w:r>
    </w:p>
    <w:p w14:paraId="5A51F29A" w14:textId="241BAEFE" w:rsidR="00A50502" w:rsidRDefault="00A50502" w:rsidP="00A50502">
      <w:pPr>
        <w:overflowPunct w:val="0"/>
        <w:autoSpaceDE w:val="0"/>
        <w:autoSpaceDN w:val="0"/>
        <w:adjustRightInd w:val="0"/>
        <w:spacing w:before="120" w:after="120" w:line="288" w:lineRule="auto"/>
        <w:textAlignment w:val="baseline"/>
        <w:rPr>
          <w:rFonts w:asciiTheme="majorHAnsi" w:hAnsiTheme="majorHAnsi"/>
          <w:bCs/>
          <w:szCs w:val="20"/>
        </w:rPr>
      </w:pPr>
      <w:r w:rsidRPr="003A47A1">
        <w:rPr>
          <w:rFonts w:asciiTheme="majorHAnsi" w:hAnsiTheme="majorHAnsi"/>
          <w:bCs/>
          <w:szCs w:val="20"/>
        </w:rPr>
        <w:t>In this contribution, we provide the following proposals:</w:t>
      </w:r>
    </w:p>
    <w:p w14:paraId="13E76012" w14:textId="77777777" w:rsidR="009914A4" w:rsidRPr="003A47A1" w:rsidRDefault="009914A4" w:rsidP="009914A4">
      <w:pPr>
        <w:spacing w:afterLines="100" w:after="240"/>
        <w:textAlignment w:val="center"/>
        <w:rPr>
          <w:rFonts w:asciiTheme="majorHAnsi" w:hAnsiTheme="majorHAnsi"/>
          <w:szCs w:val="20"/>
          <w:highlight w:val="yellow"/>
        </w:rPr>
      </w:pPr>
      <w:r w:rsidRPr="003A47A1">
        <w:rPr>
          <w:rFonts w:asciiTheme="majorHAnsi" w:hAnsiTheme="majorHAnsi"/>
          <w:b/>
          <w:bCs/>
          <w:lang w:val="en-GB"/>
        </w:rPr>
        <w:t xml:space="preserve">Observation </w:t>
      </w:r>
      <w:r>
        <w:rPr>
          <w:rFonts w:asciiTheme="majorHAnsi" w:hAnsiTheme="majorHAnsi"/>
          <w:b/>
          <w:bCs/>
          <w:lang w:val="en-GB"/>
        </w:rPr>
        <w:t>1</w:t>
      </w:r>
      <w:r w:rsidRPr="003A47A1">
        <w:rPr>
          <w:rFonts w:asciiTheme="majorHAnsi" w:hAnsiTheme="majorHAnsi"/>
          <w:b/>
          <w:bCs/>
          <w:lang w:val="en-GB"/>
        </w:rPr>
        <w:t xml:space="preserve">: The similar metric Top-K/M is agreed in RAN1 performance monitoring, where </w:t>
      </w:r>
      <w:r w:rsidRPr="003A47A1">
        <w:rPr>
          <w:rFonts w:asciiTheme="majorHAnsi" w:hAnsiTheme="majorHAnsi"/>
          <w:b/>
          <w:bCs/>
          <w:szCs w:val="20"/>
        </w:rPr>
        <w:t>at least one of the Top M beam(s) of the resource set(s) for monitoring is among Top-K predicted beam(s).</w:t>
      </w:r>
    </w:p>
    <w:p w14:paraId="704980B4" w14:textId="77777777" w:rsidR="0099122C" w:rsidRDefault="0099122C" w:rsidP="0099122C">
      <w:pPr>
        <w:pStyle w:val="a3"/>
        <w:spacing w:after="120" w:line="240" w:lineRule="auto"/>
        <w:rPr>
          <w:rFonts w:asciiTheme="majorHAnsi" w:hAnsiTheme="majorHAnsi" w:cstheme="majorHAnsi"/>
          <w:b/>
          <w:bCs/>
        </w:rPr>
      </w:pPr>
      <w:r w:rsidRPr="003A47A1">
        <w:rPr>
          <w:rFonts w:asciiTheme="majorHAnsi" w:hAnsiTheme="majorHAnsi" w:cstheme="majorHAnsi"/>
          <w:b/>
          <w:bCs/>
        </w:rPr>
        <w:t>Proposal</w:t>
      </w:r>
      <w:r>
        <w:rPr>
          <w:rFonts w:asciiTheme="majorHAnsi" w:hAnsiTheme="majorHAnsi" w:cstheme="majorHAnsi"/>
          <w:b/>
          <w:bCs/>
        </w:rPr>
        <w:t xml:space="preserve"> 1</w:t>
      </w:r>
      <w:r w:rsidRPr="003A47A1">
        <w:rPr>
          <w:rFonts w:asciiTheme="majorHAnsi" w:hAnsiTheme="majorHAnsi" w:cstheme="majorHAnsi"/>
          <w:b/>
          <w:bCs/>
        </w:rPr>
        <w:t xml:space="preserve">: </w:t>
      </w:r>
      <w:r>
        <w:rPr>
          <w:rFonts w:asciiTheme="majorHAnsi" w:hAnsiTheme="majorHAnsi" w:cstheme="majorHAnsi"/>
          <w:b/>
          <w:bCs/>
        </w:rPr>
        <w:t>In order to align with RAN1, Beam index prediction definition should at least include original option 2:</w:t>
      </w:r>
    </w:p>
    <w:p w14:paraId="4EDB7253" w14:textId="77777777" w:rsidR="0099122C" w:rsidRDefault="0099122C" w:rsidP="0099122C">
      <w:pPr>
        <w:pStyle w:val="a3"/>
        <w:numPr>
          <w:ilvl w:val="0"/>
          <w:numId w:val="14"/>
        </w:numPr>
        <w:spacing w:after="120" w:line="240" w:lineRule="auto"/>
        <w:rPr>
          <w:rFonts w:asciiTheme="majorHAnsi" w:hAnsiTheme="majorHAnsi" w:cstheme="majorHAnsi"/>
          <w:b/>
          <w:bCs/>
        </w:rPr>
      </w:pPr>
      <w:r w:rsidRPr="00537A07">
        <w:rPr>
          <w:rFonts w:asciiTheme="majorHAnsi" w:hAnsiTheme="majorHAnsi" w:cstheme="majorHAnsi"/>
          <w:b/>
          <w:bCs/>
        </w:rPr>
        <w:t xml:space="preserve">For N value: </w:t>
      </w:r>
    </w:p>
    <w:p w14:paraId="53BDBA96" w14:textId="77777777" w:rsidR="0099122C" w:rsidRDefault="0099122C" w:rsidP="0099122C">
      <w:pPr>
        <w:pStyle w:val="a3"/>
        <w:numPr>
          <w:ilvl w:val="1"/>
          <w:numId w:val="14"/>
        </w:numPr>
        <w:spacing w:after="120" w:line="240" w:lineRule="auto"/>
        <w:rPr>
          <w:rFonts w:asciiTheme="majorHAnsi" w:hAnsiTheme="majorHAnsi" w:cstheme="majorHAnsi"/>
          <w:b/>
          <w:bCs/>
        </w:rPr>
      </w:pPr>
      <w:r>
        <w:rPr>
          <w:rFonts w:asciiTheme="majorHAnsi" w:hAnsiTheme="majorHAnsi" w:cstheme="majorHAnsi"/>
          <w:b/>
          <w:bCs/>
        </w:rPr>
        <w:t>When X is larger than 0 dB, N = 1.</w:t>
      </w:r>
    </w:p>
    <w:p w14:paraId="30ABDD91" w14:textId="77777777" w:rsidR="0099122C" w:rsidRPr="006A33BE" w:rsidRDefault="0099122C" w:rsidP="0099122C">
      <w:pPr>
        <w:pStyle w:val="a3"/>
        <w:numPr>
          <w:ilvl w:val="1"/>
          <w:numId w:val="14"/>
        </w:numPr>
        <w:spacing w:after="120" w:line="240" w:lineRule="auto"/>
        <w:rPr>
          <w:rFonts w:asciiTheme="majorHAnsi" w:hAnsiTheme="majorHAnsi" w:cstheme="majorHAnsi"/>
          <w:b/>
          <w:bCs/>
        </w:rPr>
      </w:pPr>
      <w:r w:rsidRPr="006A33BE">
        <w:rPr>
          <w:rFonts w:asciiTheme="majorHAnsi" w:hAnsiTheme="majorHAnsi" w:cstheme="majorHAnsi"/>
          <w:b/>
          <w:bCs/>
        </w:rPr>
        <w:t>When X = 0dB, N = 1 or 2</w:t>
      </w:r>
      <w:r>
        <w:rPr>
          <w:rFonts w:asciiTheme="majorHAnsi" w:hAnsiTheme="majorHAnsi" w:cstheme="majorHAnsi"/>
          <w:b/>
          <w:bCs/>
        </w:rPr>
        <w:t xml:space="preserve"> depending on K value.</w:t>
      </w:r>
    </w:p>
    <w:p w14:paraId="0858B7CC" w14:textId="77777777" w:rsidR="009914A4" w:rsidRPr="003A47A1" w:rsidRDefault="009914A4" w:rsidP="009914A4">
      <w:pPr>
        <w:pStyle w:val="a3"/>
        <w:spacing w:beforeLines="50" w:before="120" w:after="120" w:line="240" w:lineRule="auto"/>
        <w:rPr>
          <w:rFonts w:asciiTheme="majorHAnsi" w:hAnsiTheme="majorHAnsi" w:cstheme="majorHAnsi"/>
          <w:b/>
          <w:bCs/>
          <w:iCs/>
          <w:sz w:val="21"/>
          <w:szCs w:val="21"/>
        </w:rPr>
      </w:pPr>
      <w:r w:rsidRPr="003A47A1">
        <w:rPr>
          <w:rFonts w:asciiTheme="majorHAnsi" w:hAnsiTheme="majorHAnsi" w:cstheme="majorHAnsi"/>
          <w:b/>
          <w:bCs/>
          <w:iCs/>
          <w:sz w:val="21"/>
          <w:szCs w:val="21"/>
        </w:rPr>
        <w:t>Observation</w:t>
      </w:r>
      <w:r>
        <w:rPr>
          <w:rFonts w:asciiTheme="majorHAnsi" w:hAnsiTheme="majorHAnsi" w:cstheme="majorHAnsi"/>
          <w:b/>
          <w:bCs/>
          <w:iCs/>
          <w:sz w:val="21"/>
          <w:szCs w:val="21"/>
        </w:rPr>
        <w:t xml:space="preserve"> 2</w:t>
      </w:r>
      <w:r w:rsidRPr="003A47A1">
        <w:rPr>
          <w:rFonts w:asciiTheme="majorHAnsi" w:hAnsiTheme="majorHAnsi" w:cstheme="majorHAnsi"/>
          <w:b/>
          <w:bCs/>
          <w:iCs/>
          <w:sz w:val="21"/>
          <w:szCs w:val="21"/>
        </w:rPr>
        <w:t>: In legacy, absolute RSRP is only defined for the largest RSRP and relative accuracy is defined for other differential RSRP in the report.</w:t>
      </w:r>
    </w:p>
    <w:p w14:paraId="6D7DC831" w14:textId="77777777" w:rsidR="009914A4" w:rsidRPr="0087251E" w:rsidRDefault="009914A4" w:rsidP="009914A4">
      <w:pPr>
        <w:pStyle w:val="a3"/>
        <w:spacing w:beforeLines="50" w:before="120" w:after="120" w:line="240" w:lineRule="auto"/>
        <w:rPr>
          <w:rFonts w:asciiTheme="majorHAnsi" w:hAnsiTheme="majorHAnsi" w:cstheme="majorHAnsi"/>
          <w:b/>
          <w:bCs/>
          <w:iCs/>
        </w:rPr>
      </w:pPr>
      <w:r w:rsidRPr="0087251E">
        <w:rPr>
          <w:rFonts w:asciiTheme="majorHAnsi" w:hAnsiTheme="majorHAnsi" w:cstheme="majorHAnsi" w:hint="eastAsia"/>
          <w:b/>
          <w:bCs/>
          <w:iCs/>
        </w:rPr>
        <w:t>P</w:t>
      </w:r>
      <w:r w:rsidRPr="0087251E">
        <w:rPr>
          <w:rFonts w:asciiTheme="majorHAnsi" w:hAnsiTheme="majorHAnsi" w:cstheme="majorHAnsi"/>
          <w:b/>
          <w:bCs/>
          <w:iCs/>
        </w:rPr>
        <w:t>roposal</w:t>
      </w:r>
      <w:r>
        <w:rPr>
          <w:rFonts w:asciiTheme="majorHAnsi" w:hAnsiTheme="majorHAnsi" w:cstheme="majorHAnsi"/>
          <w:b/>
          <w:bCs/>
          <w:iCs/>
        </w:rPr>
        <w:t xml:space="preserve"> 2</w:t>
      </w:r>
      <w:r w:rsidRPr="0087251E">
        <w:rPr>
          <w:rFonts w:asciiTheme="majorHAnsi" w:hAnsiTheme="majorHAnsi" w:cstheme="majorHAnsi"/>
          <w:b/>
          <w:bCs/>
          <w:iCs/>
        </w:rPr>
        <w:t xml:space="preserve">: Only define </w:t>
      </w:r>
      <w:r w:rsidRPr="0087251E">
        <w:rPr>
          <w:rFonts w:asciiTheme="majorHAnsi" w:eastAsia="Yu Mincho" w:hAnsiTheme="majorHAnsi" w:cstheme="majorHAnsi"/>
          <w:b/>
          <w:bCs/>
          <w:lang w:eastAsia="ja-JP"/>
        </w:rPr>
        <w:t>Absolute RSRP accuracy requirement for Top-1 of predicted beam.</w:t>
      </w:r>
    </w:p>
    <w:p w14:paraId="444102EE" w14:textId="77777777" w:rsidR="009914A4" w:rsidRDefault="009914A4" w:rsidP="009914A4">
      <w:pPr>
        <w:spacing w:afterLines="100" w:after="240"/>
        <w:rPr>
          <w:rFonts w:asciiTheme="majorHAnsi" w:hAnsiTheme="majorHAnsi"/>
          <w:b/>
          <w:bCs/>
          <w:szCs w:val="20"/>
        </w:rPr>
      </w:pPr>
      <w:r>
        <w:rPr>
          <w:rFonts w:asciiTheme="majorHAnsi" w:hAnsiTheme="majorHAnsi"/>
          <w:b/>
          <w:bCs/>
          <w:szCs w:val="20"/>
        </w:rPr>
        <w:t>Proposal 3: For relative predicted RSRP accuracy, define unified definition for both BM-case 1 and BM-case 2:</w:t>
      </w:r>
    </w:p>
    <w:p w14:paraId="0D1A383C" w14:textId="77777777" w:rsidR="009914A4" w:rsidRPr="00825F2C" w:rsidRDefault="009914A4" w:rsidP="009914A4">
      <w:pPr>
        <w:pStyle w:val="a3"/>
        <w:spacing w:after="120"/>
        <w:jc w:val="both"/>
        <w:rPr>
          <w:rFonts w:eastAsia="仿宋"/>
          <w:b/>
          <w:bCs/>
          <w:lang w:val="en-GB" w:eastAsia="ja-JP"/>
        </w:rPr>
      </w:pPr>
      <m:oMathPara>
        <m:oMath>
          <m:r>
            <m:rPr>
              <m:nor/>
            </m:rPr>
            <w:rPr>
              <w:rFonts w:eastAsia="仿宋"/>
              <w:b/>
              <w:bCs/>
            </w:rPr>
            <m:t xml:space="preserve">Relative RSRP </m:t>
          </m:r>
          <m:sSub>
            <m:sSubPr>
              <m:ctrlPr>
                <w:rPr>
                  <w:rFonts w:ascii="Cambria Math" w:eastAsia="仿宋" w:hAnsi="Cambria Math"/>
                  <w:b/>
                  <w:bCs/>
                  <w:i/>
                </w:rPr>
              </m:ctrlPr>
            </m:sSubPr>
            <m:e>
              <m:r>
                <m:rPr>
                  <m:nor/>
                </m:rPr>
                <w:rPr>
                  <w:rFonts w:eastAsia="仿宋"/>
                  <w:b/>
                  <w:bCs/>
                </w:rPr>
                <m:t>Accuracy</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oMath>
      </m:oMathPara>
    </w:p>
    <w:p w14:paraId="41EC0C1F" w14:textId="77777777" w:rsidR="009914A4" w:rsidRPr="00825F2C" w:rsidRDefault="009914A4" w:rsidP="009914A4">
      <w:pPr>
        <w:pStyle w:val="a3"/>
        <w:spacing w:after="120" w:line="240" w:lineRule="auto"/>
        <w:jc w:val="both"/>
        <w:rPr>
          <w:rFonts w:asciiTheme="majorHAnsi" w:eastAsia="仿宋" w:hAnsiTheme="majorHAnsi" w:cstheme="majorHAnsi"/>
          <w:b/>
          <w:bCs/>
        </w:rPr>
      </w:pP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largest RSRP across all time instance and beams in the report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oMath>
      <w:r w:rsidRPr="00825F2C">
        <w:rPr>
          <w:rFonts w:asciiTheme="majorHAnsi" w:eastAsia="仿宋" w:hAnsiTheme="majorHAnsi" w:cstheme="majorHAnsi"/>
          <w:b/>
          <w:bCs/>
        </w:rPr>
        <w:t xml:space="preserve"> is RSRP of beam index i at time 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True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true RSRP corresponding to the beam/time of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w:t>
      </w: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r>
          <m:rPr>
            <m:sty m:val="bi"/>
          </m:rPr>
          <w:rPr>
            <w:rFonts w:ascii="Cambria Math" w:eastAsia="仿宋" w:hAnsi="Cambria Math" w:cstheme="majorHAnsi"/>
          </w:rPr>
          <m:t>-</m:t>
        </m:r>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w:t>
      </w:r>
      <w:r w:rsidRPr="00825F2C">
        <w:rPr>
          <w:rFonts w:asciiTheme="majorHAnsi" w:eastAsia="Yu Mincho" w:hAnsiTheme="majorHAnsi" w:cstheme="majorHAnsi"/>
          <w:b/>
          <w:bCs/>
          <w:lang w:eastAsia="ja-JP"/>
        </w:rPr>
        <w:t>predicted differential RSRP in the report.</w:t>
      </w:r>
    </w:p>
    <w:p w14:paraId="70EB0F3B" w14:textId="77777777" w:rsidR="00160F5B" w:rsidRPr="003A47A1" w:rsidRDefault="00160F5B" w:rsidP="00160F5B">
      <w:pPr>
        <w:pStyle w:val="a3"/>
        <w:spacing w:beforeLines="100" w:before="24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3</w:t>
      </w:r>
      <w:r w:rsidRPr="003A47A1">
        <w:rPr>
          <w:rFonts w:asciiTheme="majorHAnsi" w:hAnsiTheme="majorHAnsi" w:cstheme="majorHAnsi"/>
          <w:b/>
          <w:bCs/>
        </w:rPr>
        <w:t>: Significant Performance Degradation in Low SNR Groups. The performance degradation is more significant in UE groups with lower maximum SNR.</w:t>
      </w:r>
    </w:p>
    <w:p w14:paraId="144119B9" w14:textId="77777777" w:rsidR="00160F5B" w:rsidRPr="003A47A1" w:rsidRDefault="00160F5B" w:rsidP="00160F5B">
      <w:pPr>
        <w:pStyle w:val="a3"/>
        <w:spacing w:beforeLines="50" w:before="12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4</w:t>
      </w:r>
      <w:r w:rsidRPr="003A47A1">
        <w:rPr>
          <w:rFonts w:asciiTheme="majorHAnsi" w:hAnsiTheme="majorHAnsi" w:cstheme="majorHAnsi"/>
          <w:b/>
          <w:bCs/>
        </w:rPr>
        <w:t>: Higher Stability in High SNR Groups. UE groups with higher maximum SNR (e.g., UE group 1 and UE group 2) show better performance stability under different measurement errors.</w:t>
      </w:r>
    </w:p>
    <w:p w14:paraId="7D198611" w14:textId="77777777" w:rsidR="009325EF" w:rsidRPr="003A47A1" w:rsidRDefault="009325EF" w:rsidP="009325EF">
      <w:pPr>
        <w:pStyle w:val="a3"/>
        <w:spacing w:beforeLines="50" w:before="120" w:after="120"/>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5</w:t>
      </w:r>
      <w:r w:rsidRPr="003A47A1">
        <w:rPr>
          <w:rFonts w:asciiTheme="majorHAnsi" w:hAnsiTheme="majorHAnsi" w:cstheme="majorHAnsi"/>
          <w:b/>
          <w:bCs/>
        </w:rPr>
        <w:t>: The SINR distribution for all UE groups spans a large range, and this distribution can significantly impact the final accuracy performance.</w:t>
      </w:r>
    </w:p>
    <w:p w14:paraId="5A1094F1" w14:textId="77777777" w:rsidR="00723D81" w:rsidRPr="00723D81" w:rsidRDefault="00723D81" w:rsidP="00723D81">
      <w:pPr>
        <w:spacing w:after="120"/>
        <w:rPr>
          <w:rFonts w:asciiTheme="majorHAnsi" w:hAnsiTheme="majorHAnsi"/>
          <w:b/>
          <w:bCs/>
          <w:szCs w:val="20"/>
        </w:rPr>
      </w:pPr>
      <w:r w:rsidRPr="00723D81">
        <w:rPr>
          <w:rFonts w:asciiTheme="majorHAnsi" w:hAnsiTheme="majorHAnsi" w:hint="eastAsia"/>
          <w:b/>
          <w:bCs/>
          <w:szCs w:val="20"/>
        </w:rPr>
        <w:t>P</w:t>
      </w:r>
      <w:r w:rsidRPr="00723D81">
        <w:rPr>
          <w:rFonts w:asciiTheme="majorHAnsi" w:hAnsiTheme="majorHAnsi"/>
          <w:b/>
          <w:bCs/>
          <w:szCs w:val="20"/>
        </w:rPr>
        <w:t>roposal 4: RAN4 to align simulation results without measurement error first.</w:t>
      </w:r>
    </w:p>
    <w:p w14:paraId="4D448E36" w14:textId="77777777" w:rsidR="00723D81" w:rsidRPr="00723D81" w:rsidRDefault="00723D81" w:rsidP="009325EF">
      <w:pPr>
        <w:spacing w:after="120"/>
        <w:rPr>
          <w:rFonts w:asciiTheme="majorHAnsi" w:hAnsiTheme="majorHAnsi"/>
          <w:b/>
          <w:bCs/>
          <w:szCs w:val="20"/>
        </w:rPr>
      </w:pPr>
    </w:p>
    <w:p w14:paraId="4AF15C6E" w14:textId="756AAD61" w:rsidR="009325EF" w:rsidRPr="003A47A1" w:rsidRDefault="009325EF" w:rsidP="009325EF">
      <w:pPr>
        <w:spacing w:after="120"/>
        <w:rPr>
          <w:rFonts w:asciiTheme="majorHAnsi" w:hAnsiTheme="majorHAnsi"/>
          <w:b/>
          <w:bCs/>
          <w:szCs w:val="20"/>
        </w:rPr>
      </w:pPr>
      <w:r w:rsidRPr="003A47A1">
        <w:rPr>
          <w:rFonts w:asciiTheme="majorHAnsi" w:hAnsiTheme="majorHAnsi"/>
          <w:b/>
          <w:bCs/>
          <w:szCs w:val="20"/>
        </w:rPr>
        <w:t>Proposal</w:t>
      </w:r>
      <w:r>
        <w:rPr>
          <w:rFonts w:asciiTheme="majorHAnsi" w:hAnsiTheme="majorHAnsi"/>
          <w:b/>
          <w:bCs/>
          <w:szCs w:val="20"/>
        </w:rPr>
        <w:t xml:space="preserve"> </w:t>
      </w:r>
      <w:r w:rsidR="00723D81">
        <w:rPr>
          <w:rFonts w:asciiTheme="majorHAnsi" w:hAnsiTheme="majorHAnsi"/>
          <w:b/>
          <w:bCs/>
          <w:szCs w:val="20"/>
        </w:rPr>
        <w:t>5</w:t>
      </w:r>
      <w:r w:rsidRPr="003A47A1">
        <w:rPr>
          <w:rFonts w:asciiTheme="majorHAnsi" w:hAnsiTheme="majorHAnsi"/>
          <w:b/>
          <w:bCs/>
          <w:szCs w:val="20"/>
        </w:rPr>
        <w:t>: To ensure consistent and reliable simulation results, we recommend that RAN4 align the following factors:</w:t>
      </w:r>
    </w:p>
    <w:p w14:paraId="2873D1E9" w14:textId="201A4832"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1. Method of Adding Measurement Error for Different TX Beams</w:t>
      </w:r>
      <w:r w:rsidRPr="009325EF">
        <w:rPr>
          <w:rFonts w:asciiTheme="majorHAnsi" w:hAnsiTheme="majorHAnsi" w:cstheme="majorHAnsi" w:hint="eastAsia"/>
          <w:b/>
          <w:bCs/>
        </w:rPr>
        <w:t>：</w:t>
      </w:r>
    </w:p>
    <w:p w14:paraId="7E48AB56" w14:textId="4FABE004" w:rsidR="009325EF" w:rsidRPr="00E634D8" w:rsidRDefault="009325EF" w:rsidP="00420833">
      <w:pPr>
        <w:pStyle w:val="a3"/>
        <w:numPr>
          <w:ilvl w:val="2"/>
          <w:numId w:val="17"/>
        </w:numPr>
        <w:spacing w:after="120" w:line="240" w:lineRule="auto"/>
        <w:rPr>
          <w:rFonts w:asciiTheme="majorHAnsi" w:hAnsiTheme="majorHAnsi" w:cstheme="majorHAnsi"/>
          <w:b/>
          <w:bCs/>
        </w:rPr>
      </w:pPr>
      <w:r w:rsidRPr="00A041AB">
        <w:rPr>
          <w:rFonts w:asciiTheme="majorHAnsi" w:hAnsiTheme="majorHAnsi" w:cstheme="majorHAnsi"/>
          <w:b/>
          <w:bCs/>
        </w:rPr>
        <w:t>Generate error distributions separately for each individual Tx-Rx beam pair based on different SNRs and apply different Gaussian standard deviations to the corresponding Tx-Rx beam pair measurements in the SLS.</w:t>
      </w:r>
    </w:p>
    <w:p w14:paraId="44E1FE53" w14:textId="77777777" w:rsidR="009325EF" w:rsidRPr="003A47A1" w:rsidRDefault="009325EF" w:rsidP="00420833">
      <w:pPr>
        <w:pStyle w:val="a3"/>
        <w:numPr>
          <w:ilvl w:val="0"/>
          <w:numId w:val="14"/>
        </w:numPr>
        <w:spacing w:after="120" w:line="240" w:lineRule="auto"/>
        <w:rPr>
          <w:rFonts w:asciiTheme="majorHAnsi" w:hAnsiTheme="majorHAnsi"/>
          <w:b/>
          <w:bCs/>
        </w:rPr>
      </w:pPr>
      <w:r w:rsidRPr="009325EF">
        <w:rPr>
          <w:rFonts w:asciiTheme="majorHAnsi" w:hAnsiTheme="majorHAnsi" w:cstheme="majorHAnsi"/>
          <w:b/>
          <w:bCs/>
        </w:rPr>
        <w:lastRenderedPageBreak/>
        <w:t>2. Gaussian Standard Deviation for Different SNRs</w:t>
      </w:r>
    </w:p>
    <w:p w14:paraId="2CE68833" w14:textId="0FBDC7FB"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Establish reference standard deviation values for critical SNR operating points.</w:t>
      </w:r>
    </w:p>
    <w:p w14:paraId="2303E266" w14:textId="77777777"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3. Largest SNR Distribution Among All Selected UEs</w:t>
      </w:r>
    </w:p>
    <w:p w14:paraId="67111CAC" w14:textId="64313ADB"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Divide the largest SNR range into several groups and define reference percentages for each group.</w:t>
      </w:r>
    </w:p>
    <w:p w14:paraId="1685E67A" w14:textId="77777777"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4. SNR Distribution for TX Beams in Set B</w:t>
      </w:r>
    </w:p>
    <w:p w14:paraId="29E790B1" w14:textId="66A1B1DC"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Align the SNR distribution for all TX beams in set B to ensure consistency across different companies.</w:t>
      </w:r>
    </w:p>
    <w:p w14:paraId="55151193" w14:textId="77777777" w:rsidR="009914A4" w:rsidRPr="009325EF" w:rsidRDefault="009914A4" w:rsidP="00A50502">
      <w:pPr>
        <w:overflowPunct w:val="0"/>
        <w:autoSpaceDE w:val="0"/>
        <w:autoSpaceDN w:val="0"/>
        <w:adjustRightInd w:val="0"/>
        <w:spacing w:before="120" w:after="120" w:line="288" w:lineRule="auto"/>
        <w:textAlignment w:val="baseline"/>
        <w:rPr>
          <w:rFonts w:asciiTheme="majorHAnsi" w:hAnsiTheme="majorHAnsi"/>
          <w:bCs/>
          <w:szCs w:val="20"/>
        </w:rPr>
      </w:pPr>
    </w:p>
    <w:p w14:paraId="5B1C4F78"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 xml:space="preserve">Reference </w:t>
      </w:r>
    </w:p>
    <w:p w14:paraId="6821827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[1] R1-2501595, FL summary 6 for AI/ML in beam management</w:t>
      </w:r>
    </w:p>
    <w:p w14:paraId="6895E657" w14:textId="77777777" w:rsidR="00A50502" w:rsidRPr="003A47A1" w:rsidRDefault="00A50502" w:rsidP="00A50502">
      <w:pPr>
        <w:overflowPunct w:val="0"/>
        <w:autoSpaceDE w:val="0"/>
        <w:autoSpaceDN w:val="0"/>
        <w:adjustRightInd w:val="0"/>
        <w:spacing w:before="240" w:after="120"/>
        <w:textAlignment w:val="baseline"/>
        <w:rPr>
          <w:rFonts w:asciiTheme="majorHAnsi" w:hAnsiTheme="majorHAnsi"/>
          <w:szCs w:val="20"/>
        </w:rPr>
      </w:pPr>
    </w:p>
    <w:p w14:paraId="7A865947" w14:textId="77777777" w:rsidR="00BF0A93" w:rsidRPr="00A50502" w:rsidRDefault="00BF0A93">
      <w:pPr>
        <w:spacing w:before="156" w:after="120"/>
      </w:pPr>
    </w:p>
    <w:sectPr w:rsidR="00BF0A93" w:rsidRPr="00A50502">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5B3B" w14:textId="77777777" w:rsidR="001B0FBD" w:rsidRDefault="001B0FBD">
      <w:pPr>
        <w:spacing w:after="120"/>
      </w:pPr>
      <w:r>
        <w:separator/>
      </w:r>
    </w:p>
  </w:endnote>
  <w:endnote w:type="continuationSeparator" w:id="0">
    <w:p w14:paraId="57E8842E" w14:textId="77777777" w:rsidR="001B0FBD" w:rsidRDefault="001B0FB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西文标题)">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D1D6" w14:textId="77777777" w:rsidR="006718E3" w:rsidRDefault="001B0FBD">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8B11" w14:textId="77777777" w:rsidR="006718E3" w:rsidRDefault="001B0FBD">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69C5" w14:textId="77777777" w:rsidR="006718E3" w:rsidRDefault="001B0FBD">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CB0A6" w14:textId="77777777" w:rsidR="001B0FBD" w:rsidRDefault="001B0FBD">
      <w:pPr>
        <w:spacing w:after="120"/>
      </w:pPr>
      <w:r>
        <w:separator/>
      </w:r>
    </w:p>
  </w:footnote>
  <w:footnote w:type="continuationSeparator" w:id="0">
    <w:p w14:paraId="209A0151" w14:textId="77777777" w:rsidR="001B0FBD" w:rsidRDefault="001B0FBD">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7835" w14:textId="77777777" w:rsidR="006718E3" w:rsidRDefault="001B0FBD">
    <w:pPr>
      <w:pStyle w:val="a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9F35" w14:textId="77777777" w:rsidR="006718E3" w:rsidRDefault="001B0FBD">
    <w:pPr>
      <w:pStyle w:val="ae"/>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378A" w14:textId="77777777" w:rsidR="006718E3" w:rsidRDefault="001B0FBD">
    <w:pPr>
      <w:pStyle w:val="ae"/>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896240"/>
    <w:multiLevelType w:val="hybridMultilevel"/>
    <w:tmpl w:val="4B9ABEC4"/>
    <w:lvl w:ilvl="0" w:tplc="F03AA9EC">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DF1B56"/>
    <w:multiLevelType w:val="multilevel"/>
    <w:tmpl w:val="C968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781070"/>
    <w:multiLevelType w:val="hybridMultilevel"/>
    <w:tmpl w:val="B498C160"/>
    <w:lvl w:ilvl="0" w:tplc="34E0C4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05F3C"/>
    <w:multiLevelType w:val="hybridMultilevel"/>
    <w:tmpl w:val="E2B26224"/>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526A7B"/>
    <w:multiLevelType w:val="hybridMultilevel"/>
    <w:tmpl w:val="7798A3CA"/>
    <w:lvl w:ilvl="0" w:tplc="08090001">
      <w:start w:val="1"/>
      <w:numFmt w:val="bullet"/>
      <w:lvlText w:val=""/>
      <w:lvlJc w:val="left"/>
      <w:pPr>
        <w:ind w:left="720" w:hanging="360"/>
      </w:pPr>
      <w:rPr>
        <w:rFonts w:ascii="Symbol" w:hAnsi="Symbol" w:hint="default"/>
      </w:rPr>
    </w:lvl>
    <w:lvl w:ilvl="1" w:tplc="B9BCD5DE">
      <w:start w:val="2"/>
      <w:numFmt w:val="bullet"/>
      <w:lvlText w:val="-"/>
      <w:lvlJc w:val="left"/>
      <w:pPr>
        <w:ind w:left="1778" w:hanging="360"/>
      </w:pPr>
      <w:rPr>
        <w:rFonts w:ascii="Times New Roman" w:eastAsiaTheme="minorEastAsia" w:hAnsi="Times New Roman" w:cs="Times New Roman" w:hint="default"/>
        <w:sz w:val="20"/>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41EB26B1"/>
    <w:multiLevelType w:val="hybridMultilevel"/>
    <w:tmpl w:val="06B00B5A"/>
    <w:lvl w:ilvl="0" w:tplc="20363314">
      <w:start w:val="1"/>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3" w15:restartNumberingAfterBreak="0">
    <w:nsid w:val="45F45384"/>
    <w:multiLevelType w:val="hybridMultilevel"/>
    <w:tmpl w:val="218689BA"/>
    <w:lvl w:ilvl="0" w:tplc="B9BCD5DE">
      <w:start w:val="2"/>
      <w:numFmt w:val="bullet"/>
      <w:lvlText w:val="-"/>
      <w:lvlJc w:val="left"/>
      <w:pPr>
        <w:ind w:left="360" w:hanging="360"/>
      </w:pPr>
      <w:rPr>
        <w:rFonts w:ascii="Times New Roman" w:eastAsiaTheme="minorEastAsia"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054B85"/>
    <w:multiLevelType w:val="hybridMultilevel"/>
    <w:tmpl w:val="801C3D30"/>
    <w:lvl w:ilvl="0" w:tplc="9D50B3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6" w15:restartNumberingAfterBreak="0">
    <w:nsid w:val="58B8483C"/>
    <w:multiLevelType w:val="hybridMultilevel"/>
    <w:tmpl w:val="B2D8A0F2"/>
    <w:lvl w:ilvl="0" w:tplc="0409000B">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7" w15:restartNumberingAfterBreak="0">
    <w:nsid w:val="637144A6"/>
    <w:multiLevelType w:val="hybridMultilevel"/>
    <w:tmpl w:val="B4800D6A"/>
    <w:lvl w:ilvl="0" w:tplc="2036331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856793"/>
    <w:multiLevelType w:val="hybridMultilevel"/>
    <w:tmpl w:val="810E5BD6"/>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0" w15:restartNumberingAfterBreak="0">
    <w:nsid w:val="744B43F2"/>
    <w:multiLevelType w:val="hybridMultilevel"/>
    <w:tmpl w:val="BF70D70A"/>
    <w:lvl w:ilvl="0" w:tplc="AF549E0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11"/>
  </w:num>
  <w:num w:numId="3">
    <w:abstractNumId w:val="0"/>
  </w:num>
  <w:num w:numId="4">
    <w:abstractNumId w:val="12"/>
  </w:num>
  <w:num w:numId="5">
    <w:abstractNumId w:val="2"/>
  </w:num>
  <w:num w:numId="6">
    <w:abstractNumId w:val="1"/>
  </w:num>
  <w:num w:numId="7">
    <w:abstractNumId w:val="19"/>
  </w:num>
  <w:num w:numId="8">
    <w:abstractNumId w:val="3"/>
  </w:num>
  <w:num w:numId="9">
    <w:abstractNumId w:val="4"/>
  </w:num>
  <w:num w:numId="10">
    <w:abstractNumId w:val="8"/>
  </w:num>
  <w:num w:numId="11">
    <w:abstractNumId w:val="6"/>
  </w:num>
  <w:num w:numId="12">
    <w:abstractNumId w:val="20"/>
  </w:num>
  <w:num w:numId="13">
    <w:abstractNumId w:val="16"/>
  </w:num>
  <w:num w:numId="14">
    <w:abstractNumId w:val="7"/>
  </w:num>
  <w:num w:numId="15">
    <w:abstractNumId w:val="13"/>
  </w:num>
  <w:num w:numId="16">
    <w:abstractNumId w:val="14"/>
  </w:num>
  <w:num w:numId="17">
    <w:abstractNumId w:val="18"/>
  </w:num>
  <w:num w:numId="18">
    <w:abstractNumId w:val="5"/>
  </w:num>
  <w:num w:numId="19">
    <w:abstractNumId w:val="17"/>
  </w:num>
  <w:num w:numId="20">
    <w:abstractNumId w:val="15"/>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502"/>
    <w:rsid w:val="00033FF9"/>
    <w:rsid w:val="000F53B0"/>
    <w:rsid w:val="00160F5B"/>
    <w:rsid w:val="001B0FBD"/>
    <w:rsid w:val="001C0F9B"/>
    <w:rsid w:val="002D3B94"/>
    <w:rsid w:val="002E1DCD"/>
    <w:rsid w:val="002F22F7"/>
    <w:rsid w:val="00361AC0"/>
    <w:rsid w:val="0037257B"/>
    <w:rsid w:val="00413193"/>
    <w:rsid w:val="00420833"/>
    <w:rsid w:val="0047499B"/>
    <w:rsid w:val="004E4BE5"/>
    <w:rsid w:val="005610EE"/>
    <w:rsid w:val="005B2839"/>
    <w:rsid w:val="00620E71"/>
    <w:rsid w:val="0062196E"/>
    <w:rsid w:val="006C4A9E"/>
    <w:rsid w:val="00700354"/>
    <w:rsid w:val="00723D81"/>
    <w:rsid w:val="00731630"/>
    <w:rsid w:val="00746739"/>
    <w:rsid w:val="007844FC"/>
    <w:rsid w:val="00840E14"/>
    <w:rsid w:val="008601BE"/>
    <w:rsid w:val="009325EF"/>
    <w:rsid w:val="0098516A"/>
    <w:rsid w:val="0099122C"/>
    <w:rsid w:val="009914A4"/>
    <w:rsid w:val="009F741C"/>
    <w:rsid w:val="00A041AB"/>
    <w:rsid w:val="00A50502"/>
    <w:rsid w:val="00AE48F7"/>
    <w:rsid w:val="00B055BC"/>
    <w:rsid w:val="00B44B7B"/>
    <w:rsid w:val="00BF0A93"/>
    <w:rsid w:val="00BF246A"/>
    <w:rsid w:val="00C33F49"/>
    <w:rsid w:val="00C630E7"/>
    <w:rsid w:val="00CA432A"/>
    <w:rsid w:val="00D40965"/>
    <w:rsid w:val="00D47E74"/>
    <w:rsid w:val="00E0166D"/>
    <w:rsid w:val="00E634D8"/>
    <w:rsid w:val="00EC15F3"/>
    <w:rsid w:val="00EC7107"/>
    <w:rsid w:val="00F93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A9AB2"/>
  <w15:chartTrackingRefBased/>
  <w15:docId w15:val="{45B5043E-389B-4975-BEA8-C2384D02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西文标题)"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0502"/>
    <w:rPr>
      <w:rFonts w:asciiTheme="minorHAnsi" w:eastAsiaTheme="minorEastAsia" w:hAnsiTheme="minorHAnsi" w:cstheme="majorHAnsi"/>
      <w:kern w:val="2"/>
      <w:szCs w:val="21"/>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C630E7"/>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C630E7"/>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C630E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C630E7"/>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C630E7"/>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C630E7"/>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C630E7"/>
    <w:pPr>
      <w:numPr>
        <w:ilvl w:val="7"/>
      </w:numPr>
      <w:outlineLvl w:val="7"/>
    </w:pPr>
  </w:style>
  <w:style w:type="paragraph" w:styleId="9">
    <w:name w:val="heading 9"/>
    <w:basedOn w:val="8"/>
    <w:next w:val="a"/>
    <w:link w:val="90"/>
    <w:qFormat/>
    <w:rsid w:val="00C630E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
    <w:name w:val="TAH"/>
    <w:basedOn w:val="TAC"/>
    <w:link w:val="TAHCar"/>
    <w:qFormat/>
    <w:rsid w:val="00C630E7"/>
    <w:rPr>
      <w:b/>
    </w:rPr>
  </w:style>
  <w:style w:type="character" w:customStyle="1" w:styleId="TAHCar">
    <w:name w:val="TAH Car"/>
    <w:link w:val="TAH"/>
    <w:qFormat/>
    <w:rsid w:val="00C630E7"/>
    <w:rPr>
      <w:rFonts w:ascii="Arial" w:eastAsia="宋体" w:hAnsi="Arial" w:cs="Times New Roman"/>
      <w:b/>
      <w:kern w:val="0"/>
      <w:sz w:val="18"/>
      <w:szCs w:val="20"/>
      <w:lang w:val="en-GB" w:eastAsia="en-US"/>
    </w:rPr>
  </w:style>
  <w:style w:type="paragraph" w:customStyle="1" w:styleId="TAC">
    <w:name w:val="TAC"/>
    <w:basedOn w:val="a"/>
    <w:link w:val="TACChar"/>
    <w:qFormat/>
    <w:rsid w:val="00C630E7"/>
    <w:pPr>
      <w:keepNext/>
      <w:keepLines/>
      <w:jc w:val="center"/>
    </w:pPr>
    <w:rPr>
      <w:rFonts w:ascii="Arial" w:hAnsi="Arial" w:cs="Times New Roman"/>
      <w:sz w:val="18"/>
      <w:szCs w:val="20"/>
      <w:lang w:val="en-GB" w:eastAsia="en-US"/>
    </w:rPr>
  </w:style>
  <w:style w:type="character" w:customStyle="1" w:styleId="TACChar">
    <w:name w:val="TAC Char"/>
    <w:link w:val="TAC"/>
    <w:qFormat/>
    <w:rsid w:val="00C630E7"/>
    <w:rPr>
      <w:rFonts w:ascii="Arial" w:eastAsia="宋体" w:hAnsi="Arial" w:cs="Times New Roman"/>
      <w:kern w:val="0"/>
      <w:sz w:val="18"/>
      <w:szCs w:val="20"/>
      <w:lang w:val="en-GB" w:eastAsia="en-US"/>
    </w:rPr>
  </w:style>
  <w:style w:type="paragraph" w:customStyle="1" w:styleId="CRCoverPage">
    <w:name w:val="CR Cover Page"/>
    <w:qFormat/>
    <w:rsid w:val="00C630E7"/>
    <w:pPr>
      <w:spacing w:after="120"/>
    </w:pPr>
    <w:rPr>
      <w:rFonts w:ascii="Arial" w:eastAsia="Times New Roman" w:hAnsi="Arial"/>
      <w:lang w:val="en-GB" w:eastAsia="en-US"/>
    </w:rPr>
  </w:style>
  <w:style w:type="paragraph" w:customStyle="1" w:styleId="B1">
    <w:name w:val="B1"/>
    <w:basedOn w:val="a"/>
    <w:link w:val="B10"/>
    <w:qFormat/>
    <w:rsid w:val="00C630E7"/>
    <w:pPr>
      <w:spacing w:after="180"/>
      <w:ind w:left="568" w:hanging="284"/>
    </w:pPr>
    <w:rPr>
      <w:rFonts w:ascii="Times New Roman" w:eastAsia="MS Mincho" w:hAnsi="Times New Roman" w:cs="Times New Roman"/>
      <w:szCs w:val="20"/>
      <w:lang w:val="en-GB" w:eastAsia="en-US"/>
    </w:rPr>
  </w:style>
  <w:style w:type="character" w:customStyle="1" w:styleId="B10">
    <w:name w:val="B1 (文字)"/>
    <w:link w:val="B1"/>
    <w:qFormat/>
    <w:rsid w:val="00C630E7"/>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C630E7"/>
    <w:pPr>
      <w:spacing w:after="180"/>
      <w:ind w:left="851" w:hanging="284"/>
    </w:pPr>
    <w:rPr>
      <w:rFonts w:ascii="Times New Roman" w:eastAsia="MS Mincho" w:hAnsi="Times New Roman" w:cs="Times New Roman"/>
      <w:szCs w:val="20"/>
      <w:lang w:val="en-GB" w:eastAsia="en-US"/>
    </w:rPr>
  </w:style>
  <w:style w:type="character" w:customStyle="1" w:styleId="B2Char">
    <w:name w:val="B2 Char"/>
    <w:link w:val="B2"/>
    <w:qFormat/>
    <w:rsid w:val="00C630E7"/>
    <w:rPr>
      <w:rFonts w:ascii="Times New Roman" w:eastAsia="MS Mincho" w:hAnsi="Times New Roman" w:cs="Times New Roman"/>
      <w:kern w:val="0"/>
      <w:sz w:val="20"/>
      <w:szCs w:val="20"/>
      <w:lang w:val="en-GB" w:eastAsia="en-US"/>
    </w:rPr>
  </w:style>
  <w:style w:type="character" w:customStyle="1" w:styleId="B1Char">
    <w:name w:val="B1 Char"/>
    <w:qFormat/>
    <w:rsid w:val="00C630E7"/>
    <w:rPr>
      <w:lang w:val="en-GB"/>
    </w:rPr>
  </w:style>
  <w:style w:type="paragraph" w:customStyle="1" w:styleId="TH">
    <w:name w:val="TH"/>
    <w:basedOn w:val="a"/>
    <w:link w:val="THChar"/>
    <w:qFormat/>
    <w:rsid w:val="00C630E7"/>
    <w:pPr>
      <w:keepNext/>
      <w:keepLines/>
      <w:spacing w:before="60" w:after="180"/>
      <w:jc w:val="center"/>
    </w:pPr>
    <w:rPr>
      <w:rFonts w:ascii="Arial" w:eastAsia="Malgun Gothic" w:hAnsi="Arial" w:cs="Times New Roman"/>
      <w:b/>
      <w:szCs w:val="20"/>
      <w:lang w:val="en-GB" w:eastAsia="x-none"/>
    </w:rPr>
  </w:style>
  <w:style w:type="character" w:customStyle="1" w:styleId="THChar">
    <w:name w:val="TH Char"/>
    <w:link w:val="TH"/>
    <w:qFormat/>
    <w:locked/>
    <w:rsid w:val="00C630E7"/>
    <w:rPr>
      <w:rFonts w:ascii="Arial" w:eastAsia="Malgun Gothic" w:hAnsi="Arial" w:cs="Times New Roman"/>
      <w:b/>
      <w:kern w:val="0"/>
      <w:sz w:val="20"/>
      <w:szCs w:val="20"/>
      <w:lang w:val="en-GB" w:eastAsia="x-none"/>
    </w:rPr>
  </w:style>
  <w:style w:type="paragraph" w:customStyle="1" w:styleId="TF">
    <w:name w:val="TF"/>
    <w:aliases w:val="left"/>
    <w:basedOn w:val="TH"/>
    <w:link w:val="TFChar"/>
    <w:qFormat/>
    <w:rsid w:val="00C630E7"/>
    <w:pPr>
      <w:keepNext w:val="0"/>
      <w:spacing w:before="0" w:after="240"/>
    </w:pPr>
  </w:style>
  <w:style w:type="character" w:customStyle="1" w:styleId="TFChar">
    <w:name w:val="TF Char"/>
    <w:link w:val="TF"/>
    <w:qFormat/>
    <w:rsid w:val="00C630E7"/>
    <w:rPr>
      <w:rFonts w:ascii="Arial" w:eastAsia="Malgun Gothic" w:hAnsi="Arial" w:cs="Times New Roman"/>
      <w:b/>
      <w:kern w:val="0"/>
      <w:sz w:val="20"/>
      <w:szCs w:val="20"/>
      <w:lang w:val="en-GB" w:eastAsia="x-none"/>
    </w:rPr>
  </w:style>
  <w:style w:type="paragraph" w:customStyle="1" w:styleId="TAL">
    <w:name w:val="TAL"/>
    <w:basedOn w:val="a"/>
    <w:link w:val="TALChar"/>
    <w:qFormat/>
    <w:rsid w:val="00C630E7"/>
    <w:pPr>
      <w:keepNext/>
      <w:keepLines/>
    </w:pPr>
    <w:rPr>
      <w:rFonts w:ascii="Arial" w:eastAsia="Times New Roman" w:hAnsi="Arial" w:cs="Times New Roman"/>
      <w:sz w:val="18"/>
      <w:szCs w:val="20"/>
      <w:lang w:val="en-GB" w:eastAsia="en-US"/>
    </w:rPr>
  </w:style>
  <w:style w:type="character" w:customStyle="1" w:styleId="TALChar">
    <w:name w:val="TAL Char"/>
    <w:link w:val="TAL"/>
    <w:rsid w:val="00C630E7"/>
    <w:rPr>
      <w:rFonts w:ascii="Arial" w:eastAsia="Times New Roman" w:hAnsi="Arial" w:cs="Times New Roman"/>
      <w:kern w:val="0"/>
      <w:sz w:val="18"/>
      <w:szCs w:val="20"/>
      <w:lang w:val="en-GB" w:eastAsia="en-US"/>
    </w:rPr>
  </w:style>
  <w:style w:type="paragraph" w:customStyle="1" w:styleId="a3">
    <w:name w:val="缺省文本"/>
    <w:basedOn w:val="a"/>
    <w:qFormat/>
    <w:rsid w:val="00C630E7"/>
    <w:pPr>
      <w:widowControl w:val="0"/>
      <w:autoSpaceDE w:val="0"/>
      <w:autoSpaceDN w:val="0"/>
      <w:adjustRightInd w:val="0"/>
      <w:spacing w:line="360" w:lineRule="auto"/>
    </w:pPr>
    <w:rPr>
      <w:rFonts w:ascii="Times New Roman" w:hAnsi="Times New Roman" w:cs="Times New Roman"/>
      <w:szCs w:val="20"/>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630E7"/>
    <w:rPr>
      <w:rFonts w:eastAsia="宋体"/>
      <w:lang w:eastAsia="ja-JP"/>
    </w:rPr>
  </w:style>
  <w:style w:type="paragraph" w:customStyle="1" w:styleId="00Text">
    <w:name w:val="00_Text"/>
    <w:basedOn w:val="a"/>
    <w:link w:val="00TextChar"/>
    <w:qFormat/>
    <w:rsid w:val="00C630E7"/>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C630E7"/>
    <w:rPr>
      <w:rFonts w:ascii="Times New Roman" w:eastAsia="宋体" w:hAnsi="Times New Roman" w:cs="Times New Roman"/>
      <w:kern w:val="0"/>
      <w:sz w:val="20"/>
      <w:szCs w:val="24"/>
    </w:rPr>
  </w:style>
  <w:style w:type="character" w:customStyle="1" w:styleId="Char">
    <w:name w:val="列出段落 Char"/>
    <w:aliases w:val="- Bullets Char,목록 단락 Char,?? ?? Char,????? Char,リスト段落 Char,???? Char,Lista1 Char,彩色列表 - 强调文字颜色 1 Char"/>
    <w:uiPriority w:val="34"/>
    <w:qFormat/>
    <w:locked/>
    <w:rsid w:val="00C630E7"/>
    <w:rPr>
      <w:rFonts w:ascii="Calibri" w:eastAsia="Calibri" w:hAnsi="Calibri"/>
      <w:sz w:val="22"/>
      <w:szCs w:val="22"/>
      <w:lang w:eastAsia="en-US"/>
    </w:rPr>
  </w:style>
  <w:style w:type="paragraph" w:customStyle="1" w:styleId="Proposal">
    <w:name w:val="Proposal"/>
    <w:basedOn w:val="a4"/>
    <w:link w:val="ProposalChar"/>
    <w:qFormat/>
    <w:rsid w:val="00C630E7"/>
    <w:pPr>
      <w:numPr>
        <w:numId w:val="1"/>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C630E7"/>
    <w:rPr>
      <w:rFonts w:asciiTheme="minorHAnsi" w:eastAsiaTheme="minorEastAsia" w:hAnsiTheme="minorHAnsi" w:cstheme="minorBidi"/>
      <w:b/>
      <w:bCs/>
      <w:kern w:val="2"/>
      <w:sz w:val="22"/>
      <w:szCs w:val="22"/>
      <w14:ligatures w14:val="standardContextual"/>
    </w:rPr>
  </w:style>
  <w:style w:type="paragraph" w:styleId="a4">
    <w:name w:val="Body Text"/>
    <w:basedOn w:val="a"/>
    <w:link w:val="a5"/>
    <w:uiPriority w:val="99"/>
    <w:semiHidden/>
    <w:unhideWhenUsed/>
    <w:rsid w:val="004E4BE5"/>
    <w:pPr>
      <w:spacing w:after="120"/>
    </w:pPr>
  </w:style>
  <w:style w:type="character" w:customStyle="1" w:styleId="a5">
    <w:name w:val="正文文本 字符"/>
    <w:basedOn w:val="a0"/>
    <w:link w:val="a4"/>
    <w:uiPriority w:val="99"/>
    <w:semiHidden/>
    <w:rsid w:val="004E4BE5"/>
  </w:style>
  <w:style w:type="character" w:customStyle="1" w:styleId="B3Char">
    <w:name w:val="B3 Char"/>
    <w:qFormat/>
    <w:locked/>
    <w:rsid w:val="00C630E7"/>
    <w:rPr>
      <w:rFonts w:eastAsia="Times New Roman"/>
      <w:lang w:eastAsia="en-GB"/>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630E7"/>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630E7"/>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C630E7"/>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630E7"/>
    <w:rPr>
      <w:rFonts w:ascii="Times New Roman" w:eastAsia="Arial" w:hAnsi="Times New Roman" w:cs="Arial"/>
      <w:kern w:val="0"/>
      <w:sz w:val="24"/>
      <w:szCs w:val="20"/>
      <w:lang w:val="en-GB"/>
    </w:rPr>
  </w:style>
  <w:style w:type="character" w:customStyle="1" w:styleId="50">
    <w:name w:val="标题 5 字符"/>
    <w:basedOn w:val="a0"/>
    <w:link w:val="5"/>
    <w:uiPriority w:val="9"/>
    <w:rsid w:val="00C630E7"/>
    <w:rPr>
      <w:rFonts w:asciiTheme="majorHAnsi" w:eastAsiaTheme="majorEastAsia" w:hAnsiTheme="majorHAnsi" w:cstheme="majorBidi"/>
      <w:color w:val="2F5496" w:themeColor="accent1" w:themeShade="BF"/>
      <w:kern w:val="0"/>
      <w:sz w:val="24"/>
      <w:szCs w:val="24"/>
    </w:rPr>
  </w:style>
  <w:style w:type="character" w:customStyle="1" w:styleId="70">
    <w:name w:val="标题 7 字符"/>
    <w:basedOn w:val="a0"/>
    <w:link w:val="7"/>
    <w:rsid w:val="00C630E7"/>
    <w:rPr>
      <w:rFonts w:ascii="Arial" w:eastAsia="Arial" w:hAnsi="Arial" w:cs="Arial"/>
      <w:kern w:val="0"/>
      <w:sz w:val="20"/>
      <w:szCs w:val="20"/>
      <w:lang w:val="en-GB"/>
    </w:rPr>
  </w:style>
  <w:style w:type="character" w:customStyle="1" w:styleId="80">
    <w:name w:val="标题 8 字符"/>
    <w:basedOn w:val="a0"/>
    <w:link w:val="8"/>
    <w:rsid w:val="00C630E7"/>
    <w:rPr>
      <w:rFonts w:ascii="Arial" w:eastAsia="Arial" w:hAnsi="Arial" w:cs="Arial"/>
      <w:kern w:val="0"/>
      <w:sz w:val="36"/>
      <w:szCs w:val="20"/>
      <w:lang w:val="en-GB"/>
    </w:rPr>
  </w:style>
  <w:style w:type="character" w:customStyle="1" w:styleId="90">
    <w:name w:val="标题 9 字符"/>
    <w:basedOn w:val="a0"/>
    <w:link w:val="9"/>
    <w:rsid w:val="00C630E7"/>
    <w:rPr>
      <w:rFonts w:ascii="Arial" w:eastAsia="Arial" w:hAnsi="Arial" w:cs="Arial"/>
      <w:kern w:val="0"/>
      <w:sz w:val="36"/>
      <w:szCs w:val="20"/>
      <w:lang w:val="en-GB"/>
    </w:rPr>
  </w:style>
  <w:style w:type="paragraph" w:styleId="a6">
    <w:name w:val="caption"/>
    <w:aliases w:val="cap,cap Char,Caption Char1 Char,cap Char Char1,Caption Char Char1 Char,cap Char2,条目"/>
    <w:basedOn w:val="a"/>
    <w:next w:val="a"/>
    <w:link w:val="a7"/>
    <w:uiPriority w:val="8"/>
    <w:unhideWhenUsed/>
    <w:qFormat/>
    <w:rsid w:val="00C630E7"/>
    <w:pPr>
      <w:spacing w:after="180" w:line="278" w:lineRule="auto"/>
      <w:jc w:val="center"/>
    </w:pPr>
    <w:rPr>
      <w:rFonts w:ascii="Times New Roman" w:eastAsia="Malgun Gothic" w:hAnsi="Times New Roman" w:cs="Times New Roman"/>
      <w:b/>
      <w:bCs/>
      <w:szCs w:val="20"/>
      <w:lang w:eastAsia="ko-KR"/>
    </w:rPr>
  </w:style>
  <w:style w:type="character" w:customStyle="1" w:styleId="a7">
    <w:name w:val="题注 字符"/>
    <w:aliases w:val="cap 字符,cap Char 字符,Caption Char1 Char 字符,cap Char Char1 字符,Caption Char Char1 Char 字符,cap Char2 字符,条目 字符"/>
    <w:link w:val="a6"/>
    <w:uiPriority w:val="8"/>
    <w:qFormat/>
    <w:rsid w:val="00C630E7"/>
    <w:rPr>
      <w:rFonts w:ascii="Times New Roman" w:eastAsia="Malgun Gothic" w:hAnsi="Times New Roman" w:cs="Times New Roman"/>
      <w:b/>
      <w:bCs/>
      <w:kern w:val="0"/>
      <w:sz w:val="20"/>
      <w:szCs w:val="20"/>
      <w:lang w:eastAsia="ko-KR"/>
    </w:rPr>
  </w:style>
  <w:style w:type="paragraph" w:styleId="a8">
    <w:name w:val="Date"/>
    <w:basedOn w:val="a"/>
    <w:next w:val="a"/>
    <w:link w:val="a9"/>
    <w:uiPriority w:val="99"/>
    <w:unhideWhenUsed/>
    <w:qFormat/>
    <w:rsid w:val="00C630E7"/>
    <w:pPr>
      <w:spacing w:after="180"/>
      <w:ind w:leftChars="2500" w:left="100"/>
    </w:pPr>
    <w:rPr>
      <w:rFonts w:ascii="Times New Roman" w:hAnsi="Times New Roman" w:cs="Times New Roman"/>
      <w:szCs w:val="20"/>
      <w:lang w:val="en-GB" w:eastAsia="en-US"/>
    </w:rPr>
  </w:style>
  <w:style w:type="character" w:customStyle="1" w:styleId="a9">
    <w:name w:val="日期 字符"/>
    <w:basedOn w:val="a0"/>
    <w:link w:val="a8"/>
    <w:uiPriority w:val="99"/>
    <w:qFormat/>
    <w:rsid w:val="00C630E7"/>
    <w:rPr>
      <w:rFonts w:ascii="Times New Roman" w:eastAsia="宋体" w:hAnsi="Times New Roman" w:cs="Times New Roman"/>
      <w:kern w:val="0"/>
      <w:sz w:val="20"/>
      <w:szCs w:val="20"/>
      <w:lang w:val="en-GB" w:eastAsia="en-US"/>
    </w:rPr>
  </w:style>
  <w:style w:type="character" w:styleId="aa">
    <w:name w:val="Strong"/>
    <w:basedOn w:val="a0"/>
    <w:uiPriority w:val="22"/>
    <w:qFormat/>
    <w:rsid w:val="00C630E7"/>
    <w:rPr>
      <w:b/>
      <w:bCs/>
    </w:rPr>
  </w:style>
  <w:style w:type="paragraph" w:styleId="ab">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c"/>
    <w:uiPriority w:val="34"/>
    <w:qFormat/>
    <w:rsid w:val="00C630E7"/>
    <w:pPr>
      <w:ind w:firstLineChars="200" w:firstLine="420"/>
    </w:pPr>
  </w:style>
  <w:style w:type="character" w:customStyle="1" w:styleId="ac">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b"/>
    <w:uiPriority w:val="34"/>
    <w:qFormat/>
    <w:locked/>
    <w:rsid w:val="00C630E7"/>
    <w:rPr>
      <w:rFonts w:ascii="宋体" w:eastAsia="宋体" w:hAnsi="宋体" w:cs="宋体"/>
      <w:kern w:val="0"/>
      <w:sz w:val="24"/>
      <w:szCs w:val="24"/>
    </w:rPr>
  </w:style>
  <w:style w:type="table" w:styleId="ad">
    <w:name w:val="Table Grid"/>
    <w:aliases w:val="TableGrid"/>
    <w:basedOn w:val="a1"/>
    <w:uiPriority w:val="59"/>
    <w:qFormat/>
    <w:rsid w:val="00A5050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A50502"/>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rsid w:val="00A50502"/>
    <w:rPr>
      <w:rFonts w:asciiTheme="minorHAnsi" w:eastAsiaTheme="minorEastAsia" w:hAnsiTheme="minorHAnsi" w:cstheme="majorHAnsi"/>
      <w:kern w:val="2"/>
      <w:sz w:val="18"/>
      <w:szCs w:val="18"/>
    </w:rPr>
  </w:style>
  <w:style w:type="paragraph" w:styleId="af0">
    <w:name w:val="footer"/>
    <w:basedOn w:val="a"/>
    <w:link w:val="af1"/>
    <w:uiPriority w:val="99"/>
    <w:unhideWhenUsed/>
    <w:rsid w:val="00A50502"/>
    <w:pPr>
      <w:tabs>
        <w:tab w:val="center" w:pos="4153"/>
        <w:tab w:val="right" w:pos="8306"/>
      </w:tabs>
      <w:snapToGrid w:val="0"/>
    </w:pPr>
    <w:rPr>
      <w:sz w:val="18"/>
      <w:szCs w:val="18"/>
    </w:rPr>
  </w:style>
  <w:style w:type="character" w:customStyle="1" w:styleId="af1">
    <w:name w:val="页脚 字符"/>
    <w:basedOn w:val="a0"/>
    <w:link w:val="af0"/>
    <w:uiPriority w:val="99"/>
    <w:rsid w:val="00A50502"/>
    <w:rPr>
      <w:rFonts w:asciiTheme="minorHAnsi" w:eastAsiaTheme="minorEastAsia" w:hAnsiTheme="minorHAnsi" w:cstheme="majorHAnsi"/>
      <w:kern w:val="2"/>
      <w:sz w:val="18"/>
      <w:szCs w:val="18"/>
    </w:rPr>
  </w:style>
  <w:style w:type="paragraph" w:customStyle="1" w:styleId="ZT">
    <w:name w:val="ZT"/>
    <w:rsid w:val="00A50502"/>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B3">
    <w:name w:val="B3"/>
    <w:basedOn w:val="a"/>
    <w:link w:val="B3Char2"/>
    <w:rsid w:val="00A50502"/>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d"/>
    <w:uiPriority w:val="39"/>
    <w:qFormat/>
    <w:rsid w:val="00A5050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2"/>
    <w:rsid w:val="00A50502"/>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3Char2">
    <w:name w:val="B3 Char2"/>
    <w:link w:val="B3"/>
    <w:rsid w:val="00A50502"/>
    <w:rPr>
      <w:rFonts w:eastAsia="MS Mincho"/>
      <w:kern w:val="2"/>
      <w:lang w:val="en-GB" w:eastAsia="en-US"/>
    </w:rPr>
  </w:style>
  <w:style w:type="paragraph" w:styleId="42">
    <w:name w:val="List 4"/>
    <w:basedOn w:val="a"/>
    <w:uiPriority w:val="99"/>
    <w:semiHidden/>
    <w:unhideWhenUsed/>
    <w:rsid w:val="00A50502"/>
    <w:pPr>
      <w:ind w:left="1132" w:hanging="283"/>
      <w:contextualSpacing/>
    </w:pPr>
  </w:style>
  <w:style w:type="paragraph" w:styleId="af2">
    <w:name w:val="Normal (Web)"/>
    <w:basedOn w:val="a"/>
    <w:uiPriority w:val="99"/>
    <w:unhideWhenUsed/>
    <w:rsid w:val="00A50502"/>
    <w:pPr>
      <w:spacing w:before="100" w:beforeAutospacing="1" w:after="100" w:afterAutospacing="1"/>
    </w:pPr>
  </w:style>
  <w:style w:type="character" w:customStyle="1" w:styleId="katex-mathml">
    <w:name w:val="katex-mathml"/>
    <w:basedOn w:val="a0"/>
    <w:rsid w:val="00A50502"/>
  </w:style>
  <w:style w:type="character" w:customStyle="1" w:styleId="mord">
    <w:name w:val="mord"/>
    <w:basedOn w:val="a0"/>
    <w:rsid w:val="00A50502"/>
  </w:style>
  <w:style w:type="paragraph" w:customStyle="1" w:styleId="TAN">
    <w:name w:val="TAN"/>
    <w:basedOn w:val="TAL"/>
    <w:link w:val="TANChar"/>
    <w:rsid w:val="00A50502"/>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A50502"/>
    <w:rPr>
      <w:rFonts w:ascii="Arial" w:eastAsia="Times New Roman" w:hAnsi="Arial"/>
      <w:kern w:val="2"/>
      <w:sz w:val="18"/>
      <w:lang w:val="en-GB" w:eastAsia="en-GB"/>
    </w:rPr>
  </w:style>
  <w:style w:type="character" w:styleId="af3">
    <w:name w:val="annotation reference"/>
    <w:basedOn w:val="a0"/>
    <w:uiPriority w:val="99"/>
    <w:semiHidden/>
    <w:unhideWhenUsed/>
    <w:rsid w:val="00A50502"/>
    <w:rPr>
      <w:sz w:val="21"/>
      <w:szCs w:val="21"/>
    </w:rPr>
  </w:style>
  <w:style w:type="paragraph" w:styleId="af4">
    <w:name w:val="annotation text"/>
    <w:basedOn w:val="a"/>
    <w:link w:val="af5"/>
    <w:uiPriority w:val="99"/>
    <w:semiHidden/>
    <w:unhideWhenUsed/>
    <w:rsid w:val="00A50502"/>
  </w:style>
  <w:style w:type="character" w:customStyle="1" w:styleId="af5">
    <w:name w:val="批注文字 字符"/>
    <w:basedOn w:val="a0"/>
    <w:link w:val="af4"/>
    <w:uiPriority w:val="99"/>
    <w:semiHidden/>
    <w:rsid w:val="00A50502"/>
    <w:rPr>
      <w:rFonts w:asciiTheme="minorHAnsi" w:eastAsiaTheme="minorEastAsia" w:hAnsiTheme="minorHAnsi" w:cstheme="majorHAnsi"/>
      <w:kern w:val="2"/>
      <w:szCs w:val="21"/>
    </w:rPr>
  </w:style>
  <w:style w:type="paragraph" w:styleId="af6">
    <w:name w:val="annotation subject"/>
    <w:basedOn w:val="af4"/>
    <w:next w:val="af4"/>
    <w:link w:val="af7"/>
    <w:uiPriority w:val="99"/>
    <w:semiHidden/>
    <w:unhideWhenUsed/>
    <w:rsid w:val="00A50502"/>
    <w:rPr>
      <w:b/>
      <w:bCs/>
    </w:rPr>
  </w:style>
  <w:style w:type="character" w:customStyle="1" w:styleId="af7">
    <w:name w:val="批注主题 字符"/>
    <w:basedOn w:val="af5"/>
    <w:link w:val="af6"/>
    <w:uiPriority w:val="99"/>
    <w:semiHidden/>
    <w:rsid w:val="00A50502"/>
    <w:rPr>
      <w:rFonts w:asciiTheme="minorHAnsi" w:eastAsiaTheme="minorEastAsia" w:hAnsiTheme="minorHAnsi" w:cstheme="majorHAnsi"/>
      <w:b/>
      <w:bCs/>
      <w:kern w:val="2"/>
      <w:szCs w:val="21"/>
    </w:rPr>
  </w:style>
  <w:style w:type="character" w:customStyle="1" w:styleId="text-only">
    <w:name w:val="text-only"/>
    <w:basedOn w:val="a0"/>
    <w:rsid w:val="00A50502"/>
  </w:style>
  <w:style w:type="character" w:styleId="af8">
    <w:name w:val="Placeholder Text"/>
    <w:basedOn w:val="a0"/>
    <w:uiPriority w:val="99"/>
    <w:semiHidden/>
    <w:rsid w:val="00A50502"/>
    <w:rPr>
      <w:color w:val="808080"/>
    </w:rPr>
  </w:style>
  <w:style w:type="paragraph" w:customStyle="1" w:styleId="relative">
    <w:name w:val="relative"/>
    <w:basedOn w:val="a"/>
    <w:rsid w:val="00A50502"/>
    <w:pPr>
      <w:spacing w:before="100" w:beforeAutospacing="1" w:after="100" w:afterAutospacing="1"/>
    </w:pPr>
  </w:style>
  <w:style w:type="character" w:customStyle="1" w:styleId="absolute">
    <w:name w:val="absolute"/>
    <w:basedOn w:val="a0"/>
    <w:rsid w:val="00A50502"/>
  </w:style>
  <w:style w:type="character" w:customStyle="1" w:styleId="mrel">
    <w:name w:val="mrel"/>
    <w:basedOn w:val="a0"/>
    <w:rsid w:val="00A50502"/>
  </w:style>
  <w:style w:type="character" w:customStyle="1" w:styleId="mbin">
    <w:name w:val="mbin"/>
    <w:basedOn w:val="a0"/>
    <w:rsid w:val="00A50502"/>
  </w:style>
  <w:style w:type="character" w:customStyle="1" w:styleId="vlist-s">
    <w:name w:val="vlist-s"/>
    <w:basedOn w:val="a0"/>
    <w:rsid w:val="00A50502"/>
  </w:style>
  <w:style w:type="character" w:customStyle="1" w:styleId="mopen">
    <w:name w:val="mopen"/>
    <w:basedOn w:val="a0"/>
    <w:rsid w:val="00A50502"/>
  </w:style>
  <w:style w:type="character" w:customStyle="1" w:styleId="mclose">
    <w:name w:val="mclose"/>
    <w:basedOn w:val="a0"/>
    <w:rsid w:val="00A50502"/>
  </w:style>
  <w:style w:type="character" w:customStyle="1" w:styleId="katex-error">
    <w:name w:val="katex-error"/>
    <w:basedOn w:val="a0"/>
    <w:rsid w:val="00A50502"/>
  </w:style>
  <w:style w:type="character" w:customStyle="1" w:styleId="delimsizing">
    <w:name w:val="delimsizing"/>
    <w:basedOn w:val="a0"/>
    <w:rsid w:val="00A50502"/>
  </w:style>
  <w:style w:type="paragraph" w:styleId="HTML">
    <w:name w:val="HTML Preformatted"/>
    <w:basedOn w:val="a"/>
    <w:link w:val="HTML0"/>
    <w:uiPriority w:val="99"/>
    <w:semiHidden/>
    <w:unhideWhenUsed/>
    <w:rsid w:val="00A50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A50502"/>
    <w:rPr>
      <w:rFonts w:asciiTheme="minorHAnsi" w:eastAsiaTheme="minorEastAsia" w:hAnsiTheme="minorHAnsi" w:cstheme="majorHAnsi"/>
      <w:kern w:val="2"/>
      <w:szCs w:val="21"/>
    </w:rPr>
  </w:style>
  <w:style w:type="character" w:styleId="HTML1">
    <w:name w:val="HTML Code"/>
    <w:basedOn w:val="a0"/>
    <w:uiPriority w:val="99"/>
    <w:semiHidden/>
    <w:unhideWhenUsed/>
    <w:rsid w:val="00A50502"/>
    <w:rPr>
      <w:rFonts w:ascii="宋体" w:eastAsia="宋体" w:hAnsi="宋体" w:cs="宋体"/>
      <w:sz w:val="24"/>
      <w:szCs w:val="24"/>
    </w:rPr>
  </w:style>
  <w:style w:type="paragraph" w:customStyle="1" w:styleId="ds-markdown-paragraph">
    <w:name w:val="ds-markdown-paragraph"/>
    <w:basedOn w:val="a"/>
    <w:rsid w:val="00A50502"/>
    <w:pPr>
      <w:spacing w:before="100" w:beforeAutospacing="1" w:afterLines="0" w:after="100" w:afterAutospacing="1"/>
    </w:pPr>
  </w:style>
  <w:style w:type="character" w:styleId="af9">
    <w:name w:val="Emphasis"/>
    <w:basedOn w:val="a0"/>
    <w:uiPriority w:val="20"/>
    <w:qFormat/>
    <w:rsid w:val="006219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19694">
      <w:bodyDiv w:val="1"/>
      <w:marLeft w:val="0"/>
      <w:marRight w:val="0"/>
      <w:marTop w:val="0"/>
      <w:marBottom w:val="0"/>
      <w:divBdr>
        <w:top w:val="none" w:sz="0" w:space="0" w:color="auto"/>
        <w:left w:val="none" w:sz="0" w:space="0" w:color="auto"/>
        <w:bottom w:val="none" w:sz="0" w:space="0" w:color="auto"/>
        <w:right w:val="none" w:sz="0" w:space="0" w:color="auto"/>
      </w:divBdr>
    </w:div>
    <w:div w:id="160239056">
      <w:bodyDiv w:val="1"/>
      <w:marLeft w:val="0"/>
      <w:marRight w:val="0"/>
      <w:marTop w:val="0"/>
      <w:marBottom w:val="0"/>
      <w:divBdr>
        <w:top w:val="none" w:sz="0" w:space="0" w:color="auto"/>
        <w:left w:val="none" w:sz="0" w:space="0" w:color="auto"/>
        <w:bottom w:val="none" w:sz="0" w:space="0" w:color="auto"/>
        <w:right w:val="none" w:sz="0" w:space="0" w:color="auto"/>
      </w:divBdr>
    </w:div>
    <w:div w:id="1714116685">
      <w:bodyDiv w:val="1"/>
      <w:marLeft w:val="0"/>
      <w:marRight w:val="0"/>
      <w:marTop w:val="0"/>
      <w:marBottom w:val="0"/>
      <w:divBdr>
        <w:top w:val="none" w:sz="0" w:space="0" w:color="auto"/>
        <w:left w:val="none" w:sz="0" w:space="0" w:color="auto"/>
        <w:bottom w:val="none" w:sz="0" w:space="0" w:color="auto"/>
        <w:right w:val="none" w:sz="0" w:space="0" w:color="auto"/>
      </w:divBdr>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
    <w:div w:id="203306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3203</Words>
  <Characters>18258</Characters>
  <Application>Microsoft Office Word</Application>
  <DocSecurity>0</DocSecurity>
  <Lines>152</Lines>
  <Paragraphs>42</Paragraphs>
  <ScaleCrop>false</ScaleCrop>
  <Company/>
  <LinksUpToDate>false</LinksUpToDate>
  <CharactersWithSpaces>21419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3</cp:revision>
  <dcterms:created xsi:type="dcterms:W3CDTF">2025-10-03T07:45:00Z</dcterms:created>
  <dcterms:modified xsi:type="dcterms:W3CDTF">2025-10-03T07:48:00Z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ebae2f02cc411f080000f9d00000e9d">
    <vt:lpwstr>CWMZs2EAnJx4bRs5RIltD65ti2i0IicHhpaENRhUrMWH+IBndrJWNVMzYVm3l1xbFRR2f89LaXV5xsfXoSSkad6gw==</vt:lpwstr>
  </property>
</Properties>
</file>